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entury Gothic" w:eastAsiaTheme="majorEastAsia" w:hAnsi="Century Gothic" w:cstheme="majorBidi"/>
          <w:b/>
          <w:sz w:val="36"/>
          <w:szCs w:val="36"/>
          <w:lang w:val="en-GB" w:eastAsia="en-US"/>
        </w:rPr>
        <w:id w:val="-1501965655"/>
        <w:docPartObj>
          <w:docPartGallery w:val="Cover Pages"/>
          <w:docPartUnique/>
        </w:docPartObj>
      </w:sdtPr>
      <w:sdtEndPr>
        <w:rPr>
          <w:rFonts w:ascii="Arial" w:eastAsiaTheme="minorHAnsi" w:hAnsi="Arial" w:cs="Arial"/>
          <w:b w:val="0"/>
          <w:noProof/>
          <w:sz w:val="24"/>
          <w:szCs w:val="24"/>
          <w:lang w:eastAsia="en-GB"/>
        </w:rPr>
      </w:sdtEndPr>
      <w:sdtContent>
        <w:tbl>
          <w:tblPr>
            <w:tblpPr w:leftFromText="187" w:rightFromText="187" w:horzAnchor="margin" w:tblpXSpec="center" w:tblpY="2881"/>
            <w:tblW w:w="4000" w:type="pct"/>
            <w:tblLook w:val="04A0" w:firstRow="1" w:lastRow="0" w:firstColumn="1" w:lastColumn="0" w:noHBand="0" w:noVBand="1"/>
          </w:tblPr>
          <w:tblGrid>
            <w:gridCol w:w="7405"/>
          </w:tblGrid>
          <w:tr w:rsidR="00446D2D" w:rsidRPr="00446D2D" w:rsidTr="00100011">
            <w:sdt>
              <w:sdtPr>
                <w:rPr>
                  <w:rFonts w:ascii="Century Gothic" w:eastAsiaTheme="majorEastAsia" w:hAnsi="Century Gothic" w:cstheme="majorBidi"/>
                  <w:b/>
                  <w:sz w:val="36"/>
                  <w:szCs w:val="36"/>
                  <w:lang w:val="en-GB" w:eastAsia="en-US"/>
                </w:rPr>
                <w:alias w:val="Company"/>
                <w:id w:val="13406915"/>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rsidR="00446D2D" w:rsidRPr="00E50E1C" w:rsidRDefault="00446D2D" w:rsidP="00446D2D">
                    <w:pPr>
                      <w:pStyle w:val="NoSpacing"/>
                      <w:rPr>
                        <w:rFonts w:ascii="Century Gothic" w:eastAsiaTheme="majorEastAsia" w:hAnsi="Century Gothic" w:cstheme="majorBidi"/>
                        <w:b/>
                        <w:sz w:val="36"/>
                        <w:szCs w:val="36"/>
                      </w:rPr>
                    </w:pPr>
                    <w:r w:rsidRPr="00E50E1C">
                      <w:rPr>
                        <w:rFonts w:ascii="Century Gothic" w:eastAsiaTheme="majorEastAsia" w:hAnsi="Century Gothic" w:cstheme="majorBidi"/>
                        <w:b/>
                        <w:sz w:val="36"/>
                        <w:szCs w:val="36"/>
                      </w:rPr>
                      <w:t>Govan Housing Association</w:t>
                    </w:r>
                  </w:p>
                </w:tc>
              </w:sdtContent>
            </w:sdt>
          </w:tr>
          <w:tr w:rsidR="00446D2D" w:rsidRPr="00EC59E6" w:rsidTr="00100011">
            <w:tc>
              <w:tcPr>
                <w:tcW w:w="7672" w:type="dxa"/>
              </w:tcPr>
              <w:sdt>
                <w:sdtPr>
                  <w:rPr>
                    <w:rFonts w:ascii="Arial" w:eastAsiaTheme="majorEastAsia" w:hAnsi="Arial" w:cs="Arial"/>
                    <w:b/>
                    <w:color w:val="002060" w:themeColor="accent1"/>
                    <w:sz w:val="32"/>
                    <w:szCs w:val="32"/>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446D2D" w:rsidRPr="00E50E1C" w:rsidRDefault="00446D2D" w:rsidP="00446D2D">
                    <w:pPr>
                      <w:pStyle w:val="NoSpacing"/>
                      <w:rPr>
                        <w:rFonts w:ascii="Arial" w:eastAsiaTheme="majorEastAsia" w:hAnsi="Arial" w:cs="Arial"/>
                        <w:b/>
                        <w:color w:val="002060" w:themeColor="accent1"/>
                        <w:sz w:val="24"/>
                        <w:szCs w:val="24"/>
                      </w:rPr>
                    </w:pPr>
                    <w:r w:rsidRPr="00E50E1C">
                      <w:rPr>
                        <w:rFonts w:ascii="Arial" w:eastAsiaTheme="majorEastAsia" w:hAnsi="Arial" w:cs="Arial"/>
                        <w:b/>
                        <w:color w:val="002060" w:themeColor="accent1"/>
                        <w:sz w:val="32"/>
                        <w:szCs w:val="32"/>
                      </w:rPr>
                      <w:t>Procurement Policy</w:t>
                    </w:r>
                  </w:p>
                </w:sdtContent>
              </w:sdt>
            </w:tc>
          </w:tr>
          <w:tr w:rsidR="00446D2D" w:rsidRPr="00EC59E6" w:rsidTr="00100011">
            <w:tc>
              <w:tcPr>
                <w:tcW w:w="7672" w:type="dxa"/>
                <w:tcMar>
                  <w:top w:w="216" w:type="dxa"/>
                  <w:left w:w="115" w:type="dxa"/>
                  <w:bottom w:w="216" w:type="dxa"/>
                  <w:right w:w="115" w:type="dxa"/>
                </w:tcMar>
              </w:tcPr>
              <w:p w:rsidR="00446D2D" w:rsidRPr="00E50E1C" w:rsidRDefault="00446D2D" w:rsidP="00446D2D">
                <w:pPr>
                  <w:pStyle w:val="NoSpacing"/>
                  <w:rPr>
                    <w:rFonts w:ascii="Arial" w:eastAsiaTheme="majorEastAsia" w:hAnsi="Arial" w:cs="Arial"/>
                    <w:b/>
                    <w:sz w:val="24"/>
                    <w:szCs w:val="24"/>
                  </w:rPr>
                </w:pPr>
              </w:p>
            </w:tc>
          </w:tr>
        </w:tbl>
        <w:p w:rsidR="00446D2D" w:rsidRPr="00E50E1C" w:rsidRDefault="00446D2D">
          <w:pPr>
            <w:rPr>
              <w:rFonts w:ascii="Arial" w:hAnsi="Arial" w:cs="Arial"/>
              <w:b/>
              <w:sz w:val="24"/>
              <w:szCs w:val="24"/>
            </w:rPr>
          </w:pPr>
          <w:r w:rsidRPr="00E50E1C">
            <w:rPr>
              <w:rFonts w:ascii="Arial" w:hAnsi="Arial" w:cs="Arial"/>
              <w:noProof/>
              <w:sz w:val="24"/>
              <w:szCs w:val="24"/>
              <w:lang w:eastAsia="en-GB"/>
            </w:rPr>
            <w:drawing>
              <wp:anchor distT="0" distB="0" distL="114300" distR="114300" simplePos="0" relativeHeight="251659264" behindDoc="1" locked="0" layoutInCell="1" allowOverlap="1" wp14:anchorId="225793AA" wp14:editId="14C8A013">
                <wp:simplePos x="0" y="0"/>
                <wp:positionH relativeFrom="outsideMargin">
                  <wp:posOffset>5066030</wp:posOffset>
                </wp:positionH>
                <wp:positionV relativeFrom="paragraph">
                  <wp:posOffset>-306705</wp:posOffset>
                </wp:positionV>
                <wp:extent cx="1763395" cy="1792605"/>
                <wp:effectExtent l="0" t="0" r="8255" b="0"/>
                <wp:wrapTight wrapText="bothSides">
                  <wp:wrapPolygon edited="0">
                    <wp:start x="0" y="0"/>
                    <wp:lineTo x="0" y="21348"/>
                    <wp:lineTo x="21468" y="21348"/>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1792605"/>
                        </a:xfrm>
                        <a:prstGeom prst="rect">
                          <a:avLst/>
                        </a:prstGeom>
                        <a:noFill/>
                      </pic:spPr>
                    </pic:pic>
                  </a:graphicData>
                </a:graphic>
                <wp14:sizeRelH relativeFrom="page">
                  <wp14:pctWidth>0</wp14:pctWidth>
                </wp14:sizeRelH>
                <wp14:sizeRelV relativeFrom="page">
                  <wp14:pctHeight>0</wp14:pctHeight>
                </wp14:sizeRelV>
              </wp:anchor>
            </w:drawing>
          </w:r>
        </w:p>
        <w:p w:rsidR="00446D2D" w:rsidRPr="00E50E1C" w:rsidRDefault="00446D2D">
          <w:pPr>
            <w:rPr>
              <w:rFonts w:ascii="Arial" w:hAnsi="Arial" w:cs="Arial"/>
              <w:b/>
              <w:sz w:val="24"/>
              <w:szCs w:val="24"/>
            </w:rPr>
          </w:pPr>
        </w:p>
        <w:p w:rsidR="00446D2D" w:rsidRPr="00E50E1C" w:rsidRDefault="00446D2D">
          <w:pPr>
            <w:rPr>
              <w:rFonts w:ascii="Arial" w:hAnsi="Arial" w:cs="Arial"/>
              <w:b/>
              <w:sz w:val="24"/>
              <w:szCs w:val="24"/>
            </w:rPr>
          </w:pPr>
        </w:p>
        <w:tbl>
          <w:tblPr>
            <w:tblStyle w:val="TableGrid"/>
            <w:tblpPr w:leftFromText="180" w:rightFromText="180" w:vertAnchor="text" w:horzAnchor="margin" w:tblpX="959" w:tblpY="5611"/>
            <w:tblW w:w="0" w:type="auto"/>
            <w:tblLook w:val="04A0" w:firstRow="1" w:lastRow="0" w:firstColumn="1" w:lastColumn="0" w:noHBand="0" w:noVBand="1"/>
          </w:tblPr>
          <w:tblGrid>
            <w:gridCol w:w="3662"/>
            <w:gridCol w:w="3250"/>
          </w:tblGrid>
          <w:tr w:rsidR="00446D2D" w:rsidRPr="00EC59E6" w:rsidTr="00690F08">
            <w:tc>
              <w:tcPr>
                <w:tcW w:w="3662" w:type="dxa"/>
                <w:shd w:val="clear" w:color="auto" w:fill="D9D9D9" w:themeFill="background1" w:themeFillShade="D9"/>
              </w:tcPr>
              <w:p w:rsidR="00446D2D" w:rsidRPr="00E50E1C" w:rsidRDefault="00446D2D" w:rsidP="00446D2D">
                <w:pPr>
                  <w:rPr>
                    <w:rFonts w:ascii="Arial" w:hAnsi="Arial" w:cs="Arial"/>
                    <w:b/>
                    <w:noProof/>
                    <w:sz w:val="24"/>
                    <w:szCs w:val="24"/>
                    <w:lang w:eastAsia="en-GB"/>
                  </w:rPr>
                </w:pPr>
                <w:r w:rsidRPr="00E50E1C">
                  <w:rPr>
                    <w:rFonts w:ascii="Arial" w:hAnsi="Arial" w:cs="Arial"/>
                    <w:b/>
                    <w:noProof/>
                    <w:sz w:val="24"/>
                    <w:szCs w:val="24"/>
                    <w:lang w:eastAsia="en-GB"/>
                  </w:rPr>
                  <w:t>Policy Manual Section;</w:t>
                </w:r>
              </w:p>
            </w:tc>
            <w:tc>
              <w:tcPr>
                <w:tcW w:w="3250" w:type="dxa"/>
              </w:tcPr>
              <w:p w:rsidR="00446D2D" w:rsidRPr="00E50E1C" w:rsidRDefault="00446D2D" w:rsidP="00446D2D">
                <w:pPr>
                  <w:rPr>
                    <w:rFonts w:ascii="Arial" w:hAnsi="Arial" w:cs="Arial"/>
                    <w:noProof/>
                    <w:sz w:val="24"/>
                    <w:szCs w:val="24"/>
                    <w:lang w:eastAsia="en-GB"/>
                  </w:rPr>
                </w:pPr>
                <w:r w:rsidRPr="00E50E1C">
                  <w:rPr>
                    <w:rFonts w:ascii="Arial" w:hAnsi="Arial" w:cs="Arial"/>
                    <w:noProof/>
                    <w:sz w:val="24"/>
                    <w:szCs w:val="24"/>
                    <w:lang w:eastAsia="en-GB"/>
                  </w:rPr>
                  <w:t>Governance</w:t>
                </w:r>
              </w:p>
            </w:tc>
          </w:tr>
          <w:tr w:rsidR="00446D2D" w:rsidRPr="00EC59E6" w:rsidTr="00690F08">
            <w:tc>
              <w:tcPr>
                <w:tcW w:w="3662" w:type="dxa"/>
                <w:shd w:val="clear" w:color="auto" w:fill="D9D9D9" w:themeFill="background1" w:themeFillShade="D9"/>
              </w:tcPr>
              <w:p w:rsidR="00446D2D" w:rsidRPr="00E50E1C" w:rsidRDefault="00446D2D" w:rsidP="00446D2D">
                <w:pPr>
                  <w:rPr>
                    <w:rFonts w:ascii="Arial" w:hAnsi="Arial" w:cs="Arial"/>
                    <w:b/>
                    <w:noProof/>
                    <w:sz w:val="24"/>
                    <w:szCs w:val="24"/>
                    <w:lang w:eastAsia="en-GB"/>
                  </w:rPr>
                </w:pPr>
                <w:r w:rsidRPr="00E50E1C">
                  <w:rPr>
                    <w:rFonts w:ascii="Arial" w:hAnsi="Arial" w:cs="Arial"/>
                    <w:b/>
                    <w:noProof/>
                    <w:sz w:val="24"/>
                    <w:szCs w:val="24"/>
                    <w:lang w:eastAsia="en-GB"/>
                  </w:rPr>
                  <w:t>Policy Number:</w:t>
                </w:r>
              </w:p>
            </w:tc>
            <w:tc>
              <w:tcPr>
                <w:tcW w:w="3250" w:type="dxa"/>
              </w:tcPr>
              <w:p w:rsidR="00446D2D" w:rsidRPr="00E50E1C" w:rsidRDefault="00446D2D" w:rsidP="00446D2D">
                <w:pPr>
                  <w:rPr>
                    <w:rFonts w:ascii="Arial" w:hAnsi="Arial" w:cs="Arial"/>
                    <w:noProof/>
                    <w:sz w:val="24"/>
                    <w:szCs w:val="24"/>
                    <w:lang w:eastAsia="en-GB"/>
                  </w:rPr>
                </w:pPr>
                <w:r w:rsidRPr="00E50E1C">
                  <w:rPr>
                    <w:rFonts w:ascii="Arial" w:hAnsi="Arial" w:cs="Arial"/>
                    <w:noProof/>
                    <w:sz w:val="24"/>
                    <w:szCs w:val="24"/>
                    <w:lang w:eastAsia="en-GB"/>
                  </w:rPr>
                  <w:t>G05</w:t>
                </w:r>
              </w:p>
            </w:tc>
          </w:tr>
          <w:tr w:rsidR="00446D2D" w:rsidRPr="00EC59E6" w:rsidTr="00690F08">
            <w:tc>
              <w:tcPr>
                <w:tcW w:w="3662" w:type="dxa"/>
                <w:shd w:val="clear" w:color="auto" w:fill="D9D9D9" w:themeFill="background1" w:themeFillShade="D9"/>
              </w:tcPr>
              <w:p w:rsidR="00446D2D" w:rsidRPr="00E50E1C" w:rsidRDefault="00446D2D" w:rsidP="00446D2D">
                <w:pPr>
                  <w:rPr>
                    <w:rFonts w:ascii="Arial" w:hAnsi="Arial" w:cs="Arial"/>
                    <w:b/>
                    <w:noProof/>
                    <w:sz w:val="24"/>
                    <w:szCs w:val="24"/>
                    <w:lang w:eastAsia="en-GB"/>
                  </w:rPr>
                </w:pPr>
                <w:r w:rsidRPr="00E50E1C">
                  <w:rPr>
                    <w:rFonts w:ascii="Arial" w:hAnsi="Arial" w:cs="Arial"/>
                    <w:b/>
                    <w:noProof/>
                    <w:sz w:val="24"/>
                    <w:szCs w:val="24"/>
                    <w:lang w:eastAsia="en-GB"/>
                  </w:rPr>
                  <w:t>Scottish Social Housing Charter Reference:</w:t>
                </w:r>
              </w:p>
            </w:tc>
            <w:tc>
              <w:tcPr>
                <w:tcW w:w="3250" w:type="dxa"/>
              </w:tcPr>
              <w:p w:rsidR="00446D2D" w:rsidRPr="00E50E1C" w:rsidRDefault="00446D2D" w:rsidP="00446D2D">
                <w:pPr>
                  <w:pStyle w:val="ListParagraph"/>
                  <w:numPr>
                    <w:ilvl w:val="0"/>
                    <w:numId w:val="1"/>
                  </w:numPr>
                  <w:rPr>
                    <w:rFonts w:ascii="Arial" w:hAnsi="Arial" w:cs="Arial"/>
                    <w:noProof/>
                    <w:sz w:val="24"/>
                    <w:szCs w:val="24"/>
                    <w:lang w:eastAsia="en-GB"/>
                  </w:rPr>
                </w:pPr>
                <w:r w:rsidRPr="00E50E1C">
                  <w:rPr>
                    <w:rFonts w:ascii="Arial" w:hAnsi="Arial" w:cs="Arial"/>
                    <w:noProof/>
                    <w:sz w:val="24"/>
                    <w:szCs w:val="24"/>
                    <w:lang w:eastAsia="en-GB"/>
                  </w:rPr>
                  <w:t>Equalities</w:t>
                </w:r>
              </w:p>
              <w:p w:rsidR="00446D2D" w:rsidRPr="00E50E1C" w:rsidRDefault="00446D2D" w:rsidP="00446D2D">
                <w:pPr>
                  <w:pStyle w:val="ListParagraph"/>
                  <w:numPr>
                    <w:ilvl w:val="0"/>
                    <w:numId w:val="1"/>
                  </w:numPr>
                  <w:rPr>
                    <w:rFonts w:ascii="Arial" w:hAnsi="Arial" w:cs="Arial"/>
                    <w:noProof/>
                    <w:sz w:val="24"/>
                    <w:szCs w:val="24"/>
                    <w:lang w:eastAsia="en-GB"/>
                  </w:rPr>
                </w:pPr>
                <w:r w:rsidRPr="00E50E1C">
                  <w:rPr>
                    <w:rFonts w:ascii="Arial" w:hAnsi="Arial" w:cs="Arial"/>
                    <w:noProof/>
                    <w:sz w:val="24"/>
                    <w:szCs w:val="24"/>
                    <w:lang w:eastAsia="en-GB"/>
                  </w:rPr>
                  <w:t>Participation</w:t>
                </w:r>
              </w:p>
              <w:p w:rsidR="00446D2D" w:rsidRPr="00E50E1C" w:rsidRDefault="00446D2D" w:rsidP="00446D2D">
                <w:pPr>
                  <w:pStyle w:val="ListParagraph"/>
                  <w:numPr>
                    <w:ilvl w:val="0"/>
                    <w:numId w:val="1"/>
                  </w:numPr>
                  <w:rPr>
                    <w:rFonts w:ascii="Arial" w:hAnsi="Arial" w:cs="Arial"/>
                    <w:noProof/>
                    <w:sz w:val="24"/>
                    <w:szCs w:val="24"/>
                    <w:lang w:eastAsia="en-GB"/>
                  </w:rPr>
                </w:pPr>
                <w:r w:rsidRPr="00E50E1C">
                  <w:rPr>
                    <w:rFonts w:ascii="Arial" w:hAnsi="Arial" w:cs="Arial"/>
                    <w:noProof/>
                    <w:sz w:val="24"/>
                    <w:szCs w:val="24"/>
                    <w:lang w:eastAsia="en-GB"/>
                  </w:rPr>
                  <w:t>Communication</w:t>
                </w:r>
              </w:p>
            </w:tc>
          </w:tr>
          <w:tr w:rsidR="00446D2D" w:rsidRPr="00EC59E6" w:rsidTr="00690F08">
            <w:tc>
              <w:tcPr>
                <w:tcW w:w="3662" w:type="dxa"/>
                <w:shd w:val="clear" w:color="auto" w:fill="D9D9D9" w:themeFill="background1" w:themeFillShade="D9"/>
              </w:tcPr>
              <w:p w:rsidR="00446D2D" w:rsidRPr="00E50E1C" w:rsidRDefault="00446D2D" w:rsidP="00446D2D">
                <w:pPr>
                  <w:rPr>
                    <w:rFonts w:ascii="Arial" w:hAnsi="Arial" w:cs="Arial"/>
                    <w:b/>
                    <w:noProof/>
                    <w:sz w:val="24"/>
                    <w:szCs w:val="24"/>
                    <w:lang w:eastAsia="en-GB"/>
                  </w:rPr>
                </w:pPr>
                <w:r w:rsidRPr="00E50E1C">
                  <w:rPr>
                    <w:rFonts w:ascii="Arial" w:hAnsi="Arial" w:cs="Arial"/>
                    <w:b/>
                    <w:noProof/>
                    <w:sz w:val="24"/>
                    <w:szCs w:val="24"/>
                    <w:lang w:eastAsia="en-GB"/>
                  </w:rPr>
                  <w:t>Date Approved by Management Committee:</w:t>
                </w:r>
              </w:p>
            </w:tc>
            <w:tc>
              <w:tcPr>
                <w:tcW w:w="3250" w:type="dxa"/>
              </w:tcPr>
              <w:p w:rsidR="00446D2D" w:rsidRPr="00E50E1C" w:rsidRDefault="00EC59E6" w:rsidP="00446D2D">
                <w:pPr>
                  <w:rPr>
                    <w:rFonts w:ascii="Arial" w:hAnsi="Arial" w:cs="Arial"/>
                    <w:noProof/>
                    <w:sz w:val="24"/>
                    <w:szCs w:val="24"/>
                    <w:lang w:eastAsia="en-GB"/>
                  </w:rPr>
                </w:pPr>
                <w:r>
                  <w:rPr>
                    <w:rFonts w:ascii="Arial" w:hAnsi="Arial" w:cs="Arial"/>
                    <w:noProof/>
                    <w:sz w:val="24"/>
                    <w:szCs w:val="24"/>
                    <w:lang w:eastAsia="en-GB"/>
                  </w:rPr>
                  <w:t>August 2020</w:t>
                </w:r>
              </w:p>
            </w:tc>
          </w:tr>
          <w:tr w:rsidR="00446D2D" w:rsidRPr="00EC59E6" w:rsidTr="00690F08">
            <w:tc>
              <w:tcPr>
                <w:tcW w:w="3662" w:type="dxa"/>
                <w:shd w:val="clear" w:color="auto" w:fill="D9D9D9" w:themeFill="background1" w:themeFillShade="D9"/>
              </w:tcPr>
              <w:p w:rsidR="00446D2D" w:rsidRPr="00E50E1C" w:rsidRDefault="00446D2D" w:rsidP="00446D2D">
                <w:pPr>
                  <w:rPr>
                    <w:rFonts w:ascii="Arial" w:hAnsi="Arial" w:cs="Arial"/>
                    <w:b/>
                    <w:noProof/>
                    <w:sz w:val="24"/>
                    <w:szCs w:val="24"/>
                    <w:lang w:eastAsia="en-GB"/>
                  </w:rPr>
                </w:pPr>
                <w:r w:rsidRPr="00E50E1C">
                  <w:rPr>
                    <w:rFonts w:ascii="Arial" w:hAnsi="Arial" w:cs="Arial"/>
                    <w:b/>
                    <w:noProof/>
                    <w:sz w:val="24"/>
                    <w:szCs w:val="24"/>
                    <w:lang w:eastAsia="en-GB"/>
                  </w:rPr>
                  <w:t>Next Review Date:</w:t>
                </w:r>
              </w:p>
            </w:tc>
            <w:tc>
              <w:tcPr>
                <w:tcW w:w="3250" w:type="dxa"/>
              </w:tcPr>
              <w:p w:rsidR="00446D2D" w:rsidRPr="00E50E1C" w:rsidRDefault="00EC59E6" w:rsidP="00446D2D">
                <w:pPr>
                  <w:rPr>
                    <w:rFonts w:ascii="Arial" w:hAnsi="Arial" w:cs="Arial"/>
                    <w:noProof/>
                    <w:sz w:val="24"/>
                    <w:szCs w:val="24"/>
                    <w:lang w:eastAsia="en-GB"/>
                  </w:rPr>
                </w:pPr>
                <w:r>
                  <w:rPr>
                    <w:rFonts w:ascii="Arial" w:hAnsi="Arial" w:cs="Arial"/>
                    <w:noProof/>
                    <w:sz w:val="24"/>
                    <w:szCs w:val="24"/>
                    <w:lang w:eastAsia="en-GB"/>
                  </w:rPr>
                  <w:t>August 2024</w:t>
                </w:r>
              </w:p>
            </w:tc>
          </w:tr>
        </w:tbl>
        <w:p w:rsidR="00446D2D" w:rsidRPr="00E50E1C" w:rsidRDefault="00446D2D">
          <w:pPr>
            <w:rPr>
              <w:rFonts w:ascii="Arial" w:hAnsi="Arial" w:cs="Arial"/>
              <w:noProof/>
              <w:sz w:val="24"/>
              <w:szCs w:val="24"/>
              <w:lang w:eastAsia="en-GB"/>
            </w:rPr>
          </w:pPr>
          <w:r w:rsidRPr="00E50E1C">
            <w:rPr>
              <w:rFonts w:ascii="Arial" w:hAnsi="Arial" w:cs="Arial"/>
              <w:noProof/>
              <w:sz w:val="24"/>
              <w:szCs w:val="24"/>
              <w:lang w:eastAsia="en-GB"/>
            </w:rPr>
            <w:br w:type="page"/>
          </w:r>
        </w:p>
        <w:sdt>
          <w:sdtPr>
            <w:rPr>
              <w:rFonts w:ascii="Arial" w:eastAsiaTheme="minorHAnsi" w:hAnsi="Arial" w:cs="Arial"/>
              <w:b w:val="0"/>
              <w:bCs w:val="0"/>
              <w:color w:val="auto"/>
              <w:sz w:val="24"/>
              <w:szCs w:val="24"/>
              <w:lang w:val="en-GB" w:eastAsia="en-US"/>
            </w:rPr>
            <w:id w:val="2054879004"/>
            <w:docPartObj>
              <w:docPartGallery w:val="Table of Contents"/>
              <w:docPartUnique/>
            </w:docPartObj>
          </w:sdtPr>
          <w:sdtEndPr>
            <w:rPr>
              <w:noProof/>
            </w:rPr>
          </w:sdtEndPr>
          <w:sdtContent>
            <w:p w:rsidR="00690F08" w:rsidRPr="00E50E1C" w:rsidRDefault="00690F08">
              <w:pPr>
                <w:pStyle w:val="TOCHeading"/>
                <w:rPr>
                  <w:rFonts w:ascii="Arial" w:hAnsi="Arial" w:cs="Arial"/>
                  <w:sz w:val="24"/>
                  <w:szCs w:val="24"/>
                </w:rPr>
              </w:pPr>
              <w:r w:rsidRPr="00E50E1C">
                <w:rPr>
                  <w:rFonts w:ascii="Arial" w:hAnsi="Arial" w:cs="Arial"/>
                  <w:sz w:val="24"/>
                  <w:szCs w:val="24"/>
                </w:rPr>
                <w:t>Contents</w:t>
              </w:r>
            </w:p>
            <w:p w:rsidR="00781005" w:rsidRPr="00E50E1C" w:rsidRDefault="00781005" w:rsidP="00781005">
              <w:pPr>
                <w:rPr>
                  <w:rFonts w:ascii="Arial" w:hAnsi="Arial" w:cs="Arial"/>
                  <w:sz w:val="24"/>
                  <w:szCs w:val="24"/>
                  <w:lang w:val="en-US" w:eastAsia="ja-JP"/>
                </w:rPr>
              </w:pPr>
            </w:p>
            <w:p w:rsidR="00241B54" w:rsidRPr="00E50E1C" w:rsidRDefault="00690F08">
              <w:pPr>
                <w:pStyle w:val="TOC1"/>
                <w:tabs>
                  <w:tab w:val="left" w:pos="440"/>
                  <w:tab w:val="right" w:leader="dot" w:pos="9016"/>
                </w:tabs>
                <w:rPr>
                  <w:rFonts w:ascii="Arial" w:eastAsiaTheme="minorEastAsia" w:hAnsi="Arial" w:cs="Arial"/>
                  <w:noProof/>
                  <w:sz w:val="24"/>
                  <w:szCs w:val="24"/>
                  <w:lang w:eastAsia="en-GB"/>
                </w:rPr>
              </w:pPr>
              <w:r w:rsidRPr="00E50E1C">
                <w:rPr>
                  <w:rFonts w:ascii="Arial" w:hAnsi="Arial" w:cs="Arial"/>
                  <w:sz w:val="24"/>
                  <w:szCs w:val="24"/>
                </w:rPr>
                <w:fldChar w:fldCharType="begin"/>
              </w:r>
              <w:r w:rsidRPr="00E50E1C">
                <w:rPr>
                  <w:rFonts w:ascii="Arial" w:hAnsi="Arial" w:cs="Arial"/>
                  <w:sz w:val="24"/>
                  <w:szCs w:val="24"/>
                </w:rPr>
                <w:instrText xml:space="preserve"> TOC \o "1-3" \h \z \u </w:instrText>
              </w:r>
              <w:r w:rsidRPr="00E50E1C">
                <w:rPr>
                  <w:rFonts w:ascii="Arial" w:hAnsi="Arial" w:cs="Arial"/>
                  <w:sz w:val="24"/>
                  <w:szCs w:val="24"/>
                </w:rPr>
                <w:fldChar w:fldCharType="separate"/>
              </w:r>
              <w:hyperlink w:anchor="_Toc511308718" w:history="1">
                <w:r w:rsidR="00241B54" w:rsidRPr="00E50E1C">
                  <w:rPr>
                    <w:rStyle w:val="Hyperlink"/>
                    <w:rFonts w:ascii="Arial" w:hAnsi="Arial" w:cs="Arial"/>
                    <w:noProof/>
                    <w:sz w:val="24"/>
                    <w:szCs w:val="24"/>
                  </w:rPr>
                  <w:t>1.</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Introduction</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_Toc511308718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sidR="001B4C77">
                  <w:rPr>
                    <w:rFonts w:ascii="Arial" w:hAnsi="Arial" w:cs="Arial"/>
                    <w:noProof/>
                    <w:webHidden/>
                    <w:sz w:val="24"/>
                    <w:szCs w:val="24"/>
                  </w:rPr>
                  <w:t>2</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19" w:history="1">
                <w:r w:rsidR="00241B54" w:rsidRPr="00E50E1C">
                  <w:rPr>
                    <w:rStyle w:val="Hyperlink"/>
                    <w:rFonts w:ascii="Arial" w:hAnsi="Arial" w:cs="Arial"/>
                    <w:noProof/>
                    <w:sz w:val="24"/>
                    <w:szCs w:val="24"/>
                  </w:rPr>
                  <w:t>2.</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Purpose</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_Toc511308719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2</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20" w:history="1">
                <w:r w:rsidR="00241B54" w:rsidRPr="00E50E1C">
                  <w:rPr>
                    <w:rStyle w:val="Hyperlink"/>
                    <w:rFonts w:ascii="Arial" w:hAnsi="Arial" w:cs="Arial"/>
                    <w:noProof/>
                    <w:sz w:val="24"/>
                    <w:szCs w:val="24"/>
                  </w:rPr>
                  <w:t>3.</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Legislation and Good Practice</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_Toc511308720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2</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21" w:history="1">
                <w:r w:rsidR="00241B54" w:rsidRPr="00E50E1C">
                  <w:rPr>
                    <w:rStyle w:val="Hyperlink"/>
                    <w:rFonts w:ascii="Arial" w:hAnsi="Arial" w:cs="Arial"/>
                    <w:noProof/>
                    <w:sz w:val="24"/>
                    <w:szCs w:val="24"/>
                  </w:rPr>
                  <w:t>4.</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Bribery Act 2010</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_Toc511308721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3</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22" w:history="1">
                <w:r w:rsidR="00241B54" w:rsidRPr="00E50E1C">
                  <w:rPr>
                    <w:rStyle w:val="Hyperlink"/>
                    <w:rFonts w:ascii="Arial" w:hAnsi="Arial" w:cs="Arial"/>
                    <w:noProof/>
                    <w:sz w:val="24"/>
                    <w:szCs w:val="24"/>
                  </w:rPr>
                  <w:t>5.</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Procurement activities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_Toc511308722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3</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23" w:history="1">
                <w:r w:rsidR="00241B54" w:rsidRPr="00E50E1C">
                  <w:rPr>
                    <w:rStyle w:val="Hyperlink"/>
                    <w:rFonts w:ascii="Arial" w:hAnsi="Arial" w:cs="Arial"/>
                    <w:noProof/>
                    <w:sz w:val="24"/>
                    <w:szCs w:val="24"/>
                  </w:rPr>
                  <w:t>6.</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Value for Money</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_Toc511308723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3</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24" w:history="1">
                <w:r w:rsidR="00241B54" w:rsidRPr="00E50E1C">
                  <w:rPr>
                    <w:rStyle w:val="Hyperlink"/>
                    <w:rFonts w:ascii="Arial" w:hAnsi="Arial" w:cs="Arial"/>
                    <w:noProof/>
                    <w:sz w:val="24"/>
                    <w:szCs w:val="24"/>
                  </w:rPr>
                  <w:t>7.</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Authority to incur expenditure</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_Toc511308724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4</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25" w:history="1">
                <w:r w:rsidR="00241B54" w:rsidRPr="00E50E1C">
                  <w:rPr>
                    <w:rStyle w:val="Hyperlink"/>
                    <w:rFonts w:ascii="Arial" w:hAnsi="Arial" w:cs="Arial"/>
                    <w:noProof/>
                    <w:sz w:val="24"/>
                    <w:szCs w:val="24"/>
                  </w:rPr>
                  <w:t>8.</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Financial Limits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_Toc511308725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5</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440"/>
                  <w:tab w:val="right" w:leader="dot" w:pos="9016"/>
                </w:tabs>
                <w:rPr>
                  <w:rFonts w:ascii="Arial" w:eastAsiaTheme="minorEastAsia" w:hAnsi="Arial" w:cs="Arial"/>
                  <w:noProof/>
                  <w:sz w:val="24"/>
                  <w:szCs w:val="24"/>
                  <w:lang w:eastAsia="en-GB"/>
                </w:rPr>
              </w:pPr>
              <w:hyperlink w:anchor="_Toc511308726" w:history="1">
                <w:r w:rsidR="00241B54" w:rsidRPr="00E50E1C">
                  <w:rPr>
                    <w:rStyle w:val="Hyperlink"/>
                    <w:rFonts w:ascii="Arial" w:hAnsi="Arial" w:cs="Arial"/>
                    <w:noProof/>
                    <w:sz w:val="24"/>
                    <w:szCs w:val="24"/>
                  </w:rPr>
                  <w:t>9.</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Obtaining prices, quotations and tenders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_Toc511308726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5</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27" w:history="1">
                <w:r w:rsidR="00241B54" w:rsidRPr="00E50E1C">
                  <w:rPr>
                    <w:rStyle w:val="Hyperlink"/>
                    <w:rFonts w:ascii="Arial" w:hAnsi="Arial" w:cs="Arial"/>
                    <w:noProof/>
                    <w:sz w:val="24"/>
                    <w:szCs w:val="24"/>
                  </w:rPr>
                  <w:t>10.</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Contracts and Service agreements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_Toc511308727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6</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28" w:history="1">
                <w:r w:rsidR="00241B54" w:rsidRPr="00E50E1C">
                  <w:rPr>
                    <w:rStyle w:val="Hyperlink"/>
                    <w:rFonts w:ascii="Arial" w:hAnsi="Arial" w:cs="Arial"/>
                    <w:noProof/>
                    <w:sz w:val="24"/>
                    <w:szCs w:val="24"/>
                  </w:rPr>
                  <w:t>11.</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Specialist Suppliers or contractors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_Toc511308728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6</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29" w:history="1">
                <w:r w:rsidR="00241B54" w:rsidRPr="00E50E1C">
                  <w:rPr>
                    <w:rStyle w:val="Hyperlink"/>
                    <w:rFonts w:ascii="Arial" w:hAnsi="Arial" w:cs="Arial"/>
                    <w:noProof/>
                    <w:sz w:val="24"/>
                    <w:szCs w:val="24"/>
                  </w:rPr>
                  <w:t>12.</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Other methods of procurement</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_Toc511308729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6</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30" w:history="1">
                <w:r w:rsidR="00241B54" w:rsidRPr="00E50E1C">
                  <w:rPr>
                    <w:rStyle w:val="Hyperlink"/>
                    <w:rFonts w:ascii="Arial" w:hAnsi="Arial" w:cs="Arial"/>
                    <w:noProof/>
                    <w:sz w:val="24"/>
                    <w:szCs w:val="24"/>
                  </w:rPr>
                  <w:t>13.</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Community Benefits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_Toc511308730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7</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31" w:history="1">
                <w:r w:rsidR="00241B54" w:rsidRPr="00E50E1C">
                  <w:rPr>
                    <w:rStyle w:val="Hyperlink"/>
                    <w:rFonts w:ascii="Arial" w:hAnsi="Arial" w:cs="Arial"/>
                    <w:noProof/>
                    <w:sz w:val="24"/>
                    <w:szCs w:val="24"/>
                  </w:rPr>
                  <w:t>14.</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Payment of contractors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_Toc511308731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7</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32" w:history="1">
                <w:r w:rsidR="00241B54" w:rsidRPr="00E50E1C">
                  <w:rPr>
                    <w:rStyle w:val="Hyperlink"/>
                    <w:rFonts w:ascii="Arial" w:hAnsi="Arial" w:cs="Arial"/>
                    <w:noProof/>
                    <w:sz w:val="24"/>
                    <w:szCs w:val="24"/>
                  </w:rPr>
                  <w:t>15.</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Repeat and Extended Contracts</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_Toc511308732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7</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33" w:history="1">
                <w:r w:rsidR="00241B54" w:rsidRPr="00E50E1C">
                  <w:rPr>
                    <w:rStyle w:val="Hyperlink"/>
                    <w:rFonts w:ascii="Arial" w:hAnsi="Arial" w:cs="Arial"/>
                    <w:noProof/>
                    <w:sz w:val="24"/>
                    <w:szCs w:val="24"/>
                  </w:rPr>
                  <w:t>16.</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Procurement Strategy</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_Toc511308733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7</w:t>
                </w:r>
                <w:r w:rsidR="00241B54" w:rsidRPr="00E50E1C">
                  <w:rPr>
                    <w:rFonts w:ascii="Arial" w:hAnsi="Arial" w:cs="Arial"/>
                    <w:noProof/>
                    <w:webHidden/>
                    <w:sz w:val="24"/>
                    <w:szCs w:val="24"/>
                  </w:rPr>
                  <w:fldChar w:fldCharType="end"/>
                </w:r>
              </w:hyperlink>
            </w:p>
            <w:p w:rsidR="00241B54" w:rsidRPr="00E50E1C" w:rsidRDefault="001B4C77">
              <w:pPr>
                <w:pStyle w:val="TOC1"/>
                <w:tabs>
                  <w:tab w:val="left" w:pos="660"/>
                  <w:tab w:val="right" w:leader="dot" w:pos="9016"/>
                </w:tabs>
                <w:rPr>
                  <w:rFonts w:ascii="Arial" w:eastAsiaTheme="minorEastAsia" w:hAnsi="Arial" w:cs="Arial"/>
                  <w:noProof/>
                  <w:sz w:val="24"/>
                  <w:szCs w:val="24"/>
                  <w:lang w:eastAsia="en-GB"/>
                </w:rPr>
              </w:pPr>
              <w:hyperlink w:anchor="_Toc511308734" w:history="1">
                <w:r w:rsidR="00241B54" w:rsidRPr="00E50E1C">
                  <w:rPr>
                    <w:rStyle w:val="Hyperlink"/>
                    <w:rFonts w:ascii="Arial" w:hAnsi="Arial" w:cs="Arial"/>
                    <w:noProof/>
                    <w:sz w:val="24"/>
                    <w:szCs w:val="24"/>
                  </w:rPr>
                  <w:t>17.</w:t>
                </w:r>
                <w:r w:rsidR="00241B54" w:rsidRPr="00E50E1C">
                  <w:rPr>
                    <w:rFonts w:ascii="Arial" w:eastAsiaTheme="minorEastAsia" w:hAnsi="Arial" w:cs="Arial"/>
                    <w:noProof/>
                    <w:sz w:val="24"/>
                    <w:szCs w:val="24"/>
                    <w:lang w:eastAsia="en-GB"/>
                  </w:rPr>
                  <w:tab/>
                </w:r>
                <w:r w:rsidR="00241B54" w:rsidRPr="00E50E1C">
                  <w:rPr>
                    <w:rStyle w:val="Hyperlink"/>
                    <w:rFonts w:ascii="Arial" w:hAnsi="Arial" w:cs="Arial"/>
                    <w:noProof/>
                    <w:sz w:val="24"/>
                    <w:szCs w:val="24"/>
                  </w:rPr>
                  <w:t>Monitoring and review</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_Toc511308734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8</w:t>
                </w:r>
                <w:r w:rsidR="00241B54" w:rsidRPr="00E50E1C">
                  <w:rPr>
                    <w:rFonts w:ascii="Arial" w:hAnsi="Arial" w:cs="Arial"/>
                    <w:noProof/>
                    <w:webHidden/>
                    <w:sz w:val="24"/>
                    <w:szCs w:val="24"/>
                  </w:rPr>
                  <w:fldChar w:fldCharType="end"/>
                </w:r>
              </w:hyperlink>
            </w:p>
            <w:p w:rsidR="00241B54" w:rsidRPr="00E50E1C" w:rsidRDefault="00241B54">
              <w:pPr>
                <w:pStyle w:val="TOC1"/>
                <w:tabs>
                  <w:tab w:val="right" w:leader="dot" w:pos="9016"/>
                </w:tabs>
                <w:rPr>
                  <w:rStyle w:val="Hyperlink"/>
                  <w:rFonts w:ascii="Arial" w:hAnsi="Arial" w:cs="Arial"/>
                  <w:noProof/>
                  <w:sz w:val="24"/>
                  <w:szCs w:val="24"/>
                </w:rPr>
              </w:pPr>
            </w:p>
            <w:p w:rsidR="00241B54" w:rsidRPr="00E50E1C" w:rsidRDefault="001B4C77">
              <w:pPr>
                <w:pStyle w:val="TOC1"/>
                <w:tabs>
                  <w:tab w:val="right" w:leader="dot" w:pos="9016"/>
                </w:tabs>
                <w:rPr>
                  <w:rFonts w:ascii="Arial" w:eastAsiaTheme="minorEastAsia" w:hAnsi="Arial" w:cs="Arial"/>
                  <w:noProof/>
                  <w:sz w:val="24"/>
                  <w:szCs w:val="24"/>
                  <w:lang w:eastAsia="en-GB"/>
                </w:rPr>
              </w:pPr>
              <w:hyperlink w:anchor="_Toc511308735" w:history="1">
                <w:r w:rsidR="00241B54" w:rsidRPr="00E50E1C">
                  <w:rPr>
                    <w:rStyle w:val="Hyperlink"/>
                    <w:rFonts w:ascii="Arial" w:hAnsi="Arial" w:cs="Arial"/>
                    <w:b/>
                    <w:noProof/>
                    <w:sz w:val="24"/>
                    <w:szCs w:val="24"/>
                  </w:rPr>
                  <w:t>APPENDIX 1</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_Toc511308735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10</w:t>
                </w:r>
                <w:r w:rsidR="00241B54" w:rsidRPr="00E50E1C">
                  <w:rPr>
                    <w:rFonts w:ascii="Arial" w:hAnsi="Arial" w:cs="Arial"/>
                    <w:noProof/>
                    <w:webHidden/>
                    <w:sz w:val="24"/>
                    <w:szCs w:val="24"/>
                  </w:rPr>
                  <w:fldChar w:fldCharType="end"/>
                </w:r>
              </w:hyperlink>
            </w:p>
            <w:p w:rsidR="00241B54" w:rsidRPr="00E50E1C" w:rsidRDefault="001B4C77">
              <w:pPr>
                <w:pStyle w:val="TOC2"/>
                <w:tabs>
                  <w:tab w:val="right" w:leader="dot" w:pos="9016"/>
                </w:tabs>
                <w:rPr>
                  <w:rFonts w:ascii="Arial" w:hAnsi="Arial" w:cs="Arial"/>
                  <w:noProof/>
                  <w:sz w:val="24"/>
                  <w:szCs w:val="24"/>
                </w:rPr>
              </w:pPr>
              <w:hyperlink w:anchor="_Toc511308736" w:history="1">
                <w:r w:rsidR="00241B54" w:rsidRPr="00E50E1C">
                  <w:rPr>
                    <w:rStyle w:val="Hyperlink"/>
                    <w:rFonts w:ascii="Arial" w:hAnsi="Arial" w:cs="Arial"/>
                    <w:noProof/>
                    <w:sz w:val="24"/>
                    <w:szCs w:val="24"/>
                  </w:rPr>
                  <w:t>Procurement Summary</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_Toc511308736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10</w:t>
                </w:r>
                <w:r w:rsidR="00241B54" w:rsidRPr="00E50E1C">
                  <w:rPr>
                    <w:rFonts w:ascii="Arial" w:hAnsi="Arial" w:cs="Arial"/>
                    <w:noProof/>
                    <w:webHidden/>
                    <w:sz w:val="24"/>
                    <w:szCs w:val="24"/>
                  </w:rPr>
                  <w:fldChar w:fldCharType="end"/>
                </w:r>
              </w:hyperlink>
            </w:p>
            <w:p w:rsidR="00241B54" w:rsidRPr="00E50E1C" w:rsidRDefault="00241B54">
              <w:pPr>
                <w:pStyle w:val="TOC1"/>
                <w:tabs>
                  <w:tab w:val="right" w:leader="dot" w:pos="9016"/>
                </w:tabs>
                <w:rPr>
                  <w:rStyle w:val="Hyperlink"/>
                  <w:rFonts w:ascii="Arial" w:hAnsi="Arial" w:cs="Arial"/>
                  <w:noProof/>
                  <w:sz w:val="24"/>
                  <w:szCs w:val="24"/>
                </w:rPr>
              </w:pPr>
            </w:p>
            <w:p w:rsidR="00241B54" w:rsidRPr="00E50E1C" w:rsidRDefault="001B4C77">
              <w:pPr>
                <w:pStyle w:val="TOC1"/>
                <w:tabs>
                  <w:tab w:val="right" w:leader="dot" w:pos="9016"/>
                </w:tabs>
                <w:rPr>
                  <w:rFonts w:ascii="Arial" w:eastAsiaTheme="minorEastAsia" w:hAnsi="Arial" w:cs="Arial"/>
                  <w:noProof/>
                  <w:sz w:val="24"/>
                  <w:szCs w:val="24"/>
                  <w:lang w:eastAsia="en-GB"/>
                </w:rPr>
              </w:pPr>
              <w:hyperlink w:anchor="_Toc511308737" w:history="1">
                <w:r w:rsidR="00241B54" w:rsidRPr="00E50E1C">
                  <w:rPr>
                    <w:rStyle w:val="Hyperlink"/>
                    <w:rFonts w:ascii="Arial" w:hAnsi="Arial" w:cs="Arial"/>
                    <w:b/>
                    <w:noProof/>
                    <w:sz w:val="24"/>
                    <w:szCs w:val="24"/>
                  </w:rPr>
                  <w:t>EQUALITY IMPACT ASSESSMENT</w:t>
                </w:r>
                <w:r w:rsidR="00241B54" w:rsidRPr="00E50E1C">
                  <w:rPr>
                    <w:rFonts w:ascii="Arial" w:hAnsi="Arial" w:cs="Arial"/>
                    <w:noProof/>
                    <w:webHidden/>
                    <w:sz w:val="24"/>
                    <w:szCs w:val="24"/>
                  </w:rPr>
                  <w:tab/>
                </w:r>
                <w:r w:rsidR="00241B54" w:rsidRPr="00E50E1C">
                  <w:rPr>
                    <w:rFonts w:ascii="Arial" w:hAnsi="Arial" w:cs="Arial"/>
                    <w:noProof/>
                    <w:webHidden/>
                    <w:sz w:val="24"/>
                    <w:szCs w:val="24"/>
                  </w:rPr>
                  <w:fldChar w:fldCharType="begin"/>
                </w:r>
                <w:r w:rsidR="00241B54" w:rsidRPr="00E50E1C">
                  <w:rPr>
                    <w:rFonts w:ascii="Arial" w:hAnsi="Arial" w:cs="Arial"/>
                    <w:noProof/>
                    <w:webHidden/>
                    <w:sz w:val="24"/>
                    <w:szCs w:val="24"/>
                  </w:rPr>
                  <w:instrText xml:space="preserve"> PAGEREF _Toc511308737 \h </w:instrText>
                </w:r>
                <w:r w:rsidR="00241B54" w:rsidRPr="00E50E1C">
                  <w:rPr>
                    <w:rFonts w:ascii="Arial" w:hAnsi="Arial" w:cs="Arial"/>
                    <w:noProof/>
                    <w:webHidden/>
                    <w:sz w:val="24"/>
                    <w:szCs w:val="24"/>
                  </w:rPr>
                </w:r>
                <w:r w:rsidR="00241B54" w:rsidRPr="00E50E1C">
                  <w:rPr>
                    <w:rFonts w:ascii="Arial" w:hAnsi="Arial" w:cs="Arial"/>
                    <w:noProof/>
                    <w:webHidden/>
                    <w:sz w:val="24"/>
                    <w:szCs w:val="24"/>
                  </w:rPr>
                  <w:fldChar w:fldCharType="separate"/>
                </w:r>
                <w:r>
                  <w:rPr>
                    <w:rFonts w:ascii="Arial" w:hAnsi="Arial" w:cs="Arial"/>
                    <w:noProof/>
                    <w:webHidden/>
                    <w:sz w:val="24"/>
                    <w:szCs w:val="24"/>
                  </w:rPr>
                  <w:t>11</w:t>
                </w:r>
                <w:r w:rsidR="00241B54" w:rsidRPr="00E50E1C">
                  <w:rPr>
                    <w:rFonts w:ascii="Arial" w:hAnsi="Arial" w:cs="Arial"/>
                    <w:noProof/>
                    <w:webHidden/>
                    <w:sz w:val="24"/>
                    <w:szCs w:val="24"/>
                  </w:rPr>
                  <w:fldChar w:fldCharType="end"/>
                </w:r>
              </w:hyperlink>
            </w:p>
            <w:p w:rsidR="00690F08" w:rsidRPr="00E50E1C" w:rsidRDefault="00690F08">
              <w:pPr>
                <w:rPr>
                  <w:rFonts w:ascii="Arial" w:hAnsi="Arial" w:cs="Arial"/>
                  <w:sz w:val="24"/>
                  <w:szCs w:val="24"/>
                </w:rPr>
              </w:pPr>
              <w:r w:rsidRPr="00E50E1C">
                <w:rPr>
                  <w:rFonts w:ascii="Arial" w:hAnsi="Arial" w:cs="Arial"/>
                  <w:b/>
                  <w:bCs/>
                  <w:noProof/>
                  <w:sz w:val="24"/>
                  <w:szCs w:val="24"/>
                </w:rPr>
                <w:fldChar w:fldCharType="end"/>
              </w:r>
            </w:p>
          </w:sdtContent>
        </w:sdt>
        <w:p w:rsidR="00446D2D" w:rsidRPr="00E50E1C" w:rsidRDefault="00446D2D">
          <w:pPr>
            <w:rPr>
              <w:rFonts w:ascii="Arial" w:hAnsi="Arial" w:cs="Arial"/>
              <w:noProof/>
              <w:sz w:val="24"/>
              <w:szCs w:val="24"/>
              <w:lang w:eastAsia="en-GB"/>
            </w:rPr>
          </w:pPr>
        </w:p>
        <w:p w:rsidR="00446D2D" w:rsidRPr="00E50E1C" w:rsidRDefault="001B4C77">
          <w:pPr>
            <w:rPr>
              <w:rFonts w:ascii="Arial" w:hAnsi="Arial" w:cs="Arial"/>
              <w:noProof/>
              <w:sz w:val="24"/>
              <w:szCs w:val="24"/>
              <w:lang w:eastAsia="en-GB"/>
            </w:rPr>
          </w:pPr>
        </w:p>
      </w:sdtContent>
    </w:sdt>
    <w:p w:rsidR="00690F08" w:rsidRPr="00E50E1C" w:rsidRDefault="00690F08">
      <w:pPr>
        <w:rPr>
          <w:rFonts w:ascii="Arial" w:hAnsi="Arial" w:cs="Arial"/>
          <w:sz w:val="24"/>
          <w:szCs w:val="24"/>
        </w:rPr>
      </w:pPr>
      <w:r w:rsidRPr="00E50E1C">
        <w:rPr>
          <w:rFonts w:ascii="Arial" w:hAnsi="Arial" w:cs="Arial"/>
          <w:sz w:val="24"/>
          <w:szCs w:val="24"/>
        </w:rPr>
        <w:br w:type="page"/>
      </w:r>
    </w:p>
    <w:p w:rsidR="00690F08" w:rsidRPr="00E50E1C" w:rsidRDefault="00690F08" w:rsidP="00690F08">
      <w:pPr>
        <w:pStyle w:val="Heading1"/>
        <w:numPr>
          <w:ilvl w:val="0"/>
          <w:numId w:val="9"/>
        </w:numPr>
        <w:rPr>
          <w:rFonts w:ascii="Arial" w:hAnsi="Arial" w:cs="Arial"/>
          <w:bCs w:val="0"/>
          <w:sz w:val="24"/>
          <w:szCs w:val="24"/>
        </w:rPr>
      </w:pPr>
      <w:bookmarkStart w:id="1" w:name="_Toc511308718"/>
      <w:r w:rsidRPr="00E50E1C">
        <w:rPr>
          <w:rFonts w:ascii="Arial" w:hAnsi="Arial" w:cs="Arial"/>
          <w:sz w:val="24"/>
          <w:szCs w:val="24"/>
        </w:rPr>
        <w:lastRenderedPageBreak/>
        <w:t>Introduction</w:t>
      </w:r>
      <w:bookmarkEnd w:id="1"/>
    </w:p>
    <w:p w:rsidR="00690F08" w:rsidRPr="00E50E1C" w:rsidRDefault="00690F08" w:rsidP="00690F08">
      <w:pPr>
        <w:spacing w:after="0" w:line="240" w:lineRule="auto"/>
        <w:jc w:val="both"/>
        <w:rPr>
          <w:rFonts w:ascii="Arial" w:hAnsi="Arial" w:cs="Arial"/>
          <w:bCs/>
          <w:sz w:val="24"/>
          <w:szCs w:val="24"/>
        </w:rPr>
      </w:pPr>
    </w:p>
    <w:p w:rsidR="00690F08" w:rsidRPr="00E50E1C" w:rsidRDefault="00690F08" w:rsidP="00690F08">
      <w:pPr>
        <w:numPr>
          <w:ilvl w:val="1"/>
          <w:numId w:val="2"/>
        </w:numPr>
        <w:tabs>
          <w:tab w:val="clear" w:pos="1571"/>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Govan Housing Association (Govan HA) seeks to procure services in a manner that not only complies with current legislation and best practise but also works creatively and collaboratively to support the local economy in Govan.</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2"/>
        </w:numPr>
        <w:tabs>
          <w:tab w:val="clear" w:pos="1571"/>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This policy describes how Govan HA will purchase, or ‘procure’, goods and services. </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2"/>
        </w:numPr>
        <w:tabs>
          <w:tab w:val="clear" w:pos="1571"/>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term ‘procurement’ as used in this policy covers the process of purchasing the full range of goods and services we require, ranging from small items purchased from the petty cash float to large development and planned maintenance contracts awarded following a full tendering process.</w:t>
      </w:r>
    </w:p>
    <w:p w:rsidR="00690F08" w:rsidRPr="00E50E1C" w:rsidRDefault="00690F08" w:rsidP="00690F08">
      <w:pPr>
        <w:pStyle w:val="Heading1"/>
        <w:numPr>
          <w:ilvl w:val="0"/>
          <w:numId w:val="9"/>
        </w:numPr>
        <w:rPr>
          <w:rFonts w:ascii="Arial" w:hAnsi="Arial" w:cs="Arial"/>
          <w:bCs w:val="0"/>
          <w:sz w:val="24"/>
          <w:szCs w:val="24"/>
        </w:rPr>
      </w:pPr>
      <w:bookmarkStart w:id="2" w:name="_Toc511308719"/>
      <w:r w:rsidRPr="00E50E1C">
        <w:rPr>
          <w:rFonts w:ascii="Arial" w:hAnsi="Arial" w:cs="Arial"/>
          <w:sz w:val="24"/>
          <w:szCs w:val="24"/>
        </w:rPr>
        <w:t>Purpose</w:t>
      </w:r>
      <w:bookmarkEnd w:id="2"/>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This Policy establishes how Govan HA’s Management Committee expects procurement related activity to be undertaken by the organisation.</w:t>
      </w:r>
    </w:p>
    <w:p w:rsidR="00690F08" w:rsidRPr="00E50E1C" w:rsidRDefault="00690F08" w:rsidP="00690F08">
      <w:pPr>
        <w:pStyle w:val="Heading1"/>
        <w:numPr>
          <w:ilvl w:val="0"/>
          <w:numId w:val="9"/>
        </w:numPr>
        <w:rPr>
          <w:rFonts w:ascii="Arial" w:hAnsi="Arial" w:cs="Arial"/>
          <w:sz w:val="24"/>
          <w:szCs w:val="24"/>
        </w:rPr>
      </w:pPr>
      <w:bookmarkStart w:id="3" w:name="_Toc511308720"/>
      <w:r w:rsidRPr="00E50E1C">
        <w:rPr>
          <w:rFonts w:ascii="Arial" w:hAnsi="Arial" w:cs="Arial"/>
          <w:sz w:val="24"/>
          <w:szCs w:val="24"/>
        </w:rPr>
        <w:t>Legislation and Good Practice</w:t>
      </w:r>
      <w:bookmarkEnd w:id="3"/>
    </w:p>
    <w:p w:rsidR="00690F08" w:rsidRPr="00E50E1C" w:rsidRDefault="00690F08" w:rsidP="00690F08">
      <w:pPr>
        <w:spacing w:after="0" w:line="240" w:lineRule="auto"/>
        <w:ind w:left="720"/>
        <w:jc w:val="both"/>
        <w:rPr>
          <w:rFonts w:ascii="Arial" w:hAnsi="Arial" w:cs="Arial"/>
          <w:b/>
          <w:bCs/>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This policy supports the Association in meeting its statutory obligations under the Procurement Reform (Scotland) Act 2014.</w:t>
      </w:r>
      <w:r w:rsidRPr="00E50E1C">
        <w:rPr>
          <w:rStyle w:val="FootnoteReference"/>
          <w:rFonts w:ascii="Arial" w:hAnsi="Arial" w:cs="Arial"/>
          <w:sz w:val="24"/>
          <w:szCs w:val="24"/>
        </w:rPr>
        <w:footnoteReference w:id="1"/>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This policy supports the Association in meeting particular aspects of the Scottish Housing Regulator’s Regulatory Standards of Governance and Financial Management:</w:t>
      </w:r>
    </w:p>
    <w:p w:rsidR="00690F08" w:rsidRPr="00E50E1C" w:rsidRDefault="00690F08" w:rsidP="00690F08">
      <w:pPr>
        <w:spacing w:after="0" w:line="240" w:lineRule="auto"/>
        <w:jc w:val="both"/>
        <w:rPr>
          <w:rFonts w:ascii="Arial" w:hAnsi="Arial" w:cs="Arial"/>
          <w:sz w:val="24"/>
          <w:szCs w:val="24"/>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36"/>
      </w:tblGrid>
      <w:tr w:rsidR="00690F08" w:rsidRPr="00EC59E6" w:rsidTr="00524C40">
        <w:tc>
          <w:tcPr>
            <w:tcW w:w="3544" w:type="dxa"/>
            <w:shd w:val="clear" w:color="auto" w:fill="D9D9D9"/>
          </w:tcPr>
          <w:p w:rsidR="00690F08" w:rsidRPr="00E50E1C" w:rsidRDefault="00690F08" w:rsidP="00690F08">
            <w:pPr>
              <w:tabs>
                <w:tab w:val="left" w:pos="720"/>
              </w:tabs>
              <w:spacing w:after="0" w:line="240" w:lineRule="auto"/>
              <w:jc w:val="both"/>
              <w:rPr>
                <w:rFonts w:ascii="Arial" w:hAnsi="Arial" w:cs="Arial"/>
                <w:b/>
                <w:bCs/>
                <w:sz w:val="24"/>
                <w:szCs w:val="24"/>
              </w:rPr>
            </w:pPr>
            <w:r w:rsidRPr="00E50E1C">
              <w:rPr>
                <w:rFonts w:ascii="Arial" w:hAnsi="Arial" w:cs="Arial"/>
                <w:b/>
                <w:bCs/>
                <w:sz w:val="24"/>
                <w:szCs w:val="24"/>
              </w:rPr>
              <w:t>Standard</w:t>
            </w:r>
          </w:p>
        </w:tc>
        <w:tc>
          <w:tcPr>
            <w:tcW w:w="4536" w:type="dxa"/>
            <w:shd w:val="clear" w:color="auto" w:fill="D9D9D9"/>
          </w:tcPr>
          <w:p w:rsidR="00690F08" w:rsidRPr="00E50E1C" w:rsidRDefault="00690F08" w:rsidP="00690F08">
            <w:pPr>
              <w:tabs>
                <w:tab w:val="left" w:pos="720"/>
              </w:tabs>
              <w:spacing w:after="0" w:line="240" w:lineRule="auto"/>
              <w:jc w:val="both"/>
              <w:rPr>
                <w:rFonts w:ascii="Arial" w:hAnsi="Arial" w:cs="Arial"/>
                <w:b/>
                <w:bCs/>
                <w:sz w:val="24"/>
                <w:szCs w:val="24"/>
              </w:rPr>
            </w:pPr>
            <w:r w:rsidRPr="00E50E1C">
              <w:rPr>
                <w:rFonts w:ascii="Arial" w:hAnsi="Arial" w:cs="Arial"/>
                <w:b/>
                <w:bCs/>
                <w:sz w:val="24"/>
                <w:szCs w:val="24"/>
              </w:rPr>
              <w:t>Guidance</w:t>
            </w:r>
          </w:p>
        </w:tc>
      </w:tr>
      <w:tr w:rsidR="00690F08" w:rsidRPr="00EC59E6" w:rsidTr="00524C40">
        <w:tc>
          <w:tcPr>
            <w:tcW w:w="3544" w:type="dxa"/>
            <w:shd w:val="clear" w:color="auto" w:fill="auto"/>
          </w:tcPr>
          <w:p w:rsidR="00690F08" w:rsidRPr="00E50E1C" w:rsidRDefault="00690F08" w:rsidP="00690F08">
            <w:pPr>
              <w:spacing w:after="0" w:line="240" w:lineRule="auto"/>
              <w:jc w:val="both"/>
              <w:rPr>
                <w:rFonts w:ascii="Arial" w:hAnsi="Arial" w:cs="Arial"/>
                <w:b/>
                <w:bCs/>
                <w:sz w:val="24"/>
                <w:szCs w:val="24"/>
              </w:rPr>
            </w:pPr>
            <w:r w:rsidRPr="00E50E1C">
              <w:rPr>
                <w:rFonts w:ascii="Arial" w:hAnsi="Arial" w:cs="Arial"/>
                <w:b/>
                <w:bCs/>
                <w:sz w:val="24"/>
                <w:szCs w:val="24"/>
              </w:rPr>
              <w:t>The RSL manages its resources to ensure its financial well-being and economic effectiveness</w:t>
            </w:r>
          </w:p>
          <w:p w:rsidR="00690F08" w:rsidRPr="00E50E1C" w:rsidRDefault="00690F08" w:rsidP="00690F08">
            <w:pPr>
              <w:tabs>
                <w:tab w:val="left" w:pos="720"/>
              </w:tabs>
              <w:spacing w:after="0" w:line="240" w:lineRule="auto"/>
              <w:jc w:val="both"/>
              <w:rPr>
                <w:rFonts w:ascii="Arial" w:hAnsi="Arial" w:cs="Arial"/>
                <w:b/>
                <w:bCs/>
                <w:sz w:val="24"/>
                <w:szCs w:val="24"/>
              </w:rPr>
            </w:pPr>
          </w:p>
        </w:tc>
        <w:tc>
          <w:tcPr>
            <w:tcW w:w="4536" w:type="dxa"/>
            <w:shd w:val="clear" w:color="auto" w:fill="auto"/>
          </w:tcPr>
          <w:p w:rsidR="00690F08" w:rsidRPr="00E50E1C" w:rsidRDefault="00690F08" w:rsidP="00690F08">
            <w:pPr>
              <w:spacing w:after="0" w:line="240" w:lineRule="auto"/>
              <w:jc w:val="both"/>
              <w:rPr>
                <w:rFonts w:ascii="Arial" w:hAnsi="Arial" w:cs="Arial"/>
                <w:sz w:val="24"/>
                <w:szCs w:val="24"/>
              </w:rPr>
            </w:pPr>
            <w:r w:rsidRPr="00E50E1C">
              <w:rPr>
                <w:rFonts w:ascii="Arial" w:hAnsi="Arial" w:cs="Arial"/>
                <w:sz w:val="24"/>
                <w:szCs w:val="24"/>
              </w:rPr>
              <w:t>The RSL has effective financial and treasury management controls and procedures, to achieve the right balance between costs and outcomes. The RSL ensures security of assets, the proper use of public and private funds, and access to sufficient liquidity at all times. (Guidance 3.1)</w:t>
            </w:r>
          </w:p>
        </w:tc>
      </w:tr>
      <w:tr w:rsidR="00690F08" w:rsidRPr="00EC59E6" w:rsidTr="00524C40">
        <w:tc>
          <w:tcPr>
            <w:tcW w:w="3544" w:type="dxa"/>
            <w:shd w:val="clear" w:color="auto" w:fill="auto"/>
          </w:tcPr>
          <w:p w:rsidR="00690F08" w:rsidRPr="00E50E1C" w:rsidRDefault="00690F08" w:rsidP="00690F08">
            <w:pPr>
              <w:spacing w:after="0" w:line="240" w:lineRule="auto"/>
              <w:jc w:val="both"/>
              <w:rPr>
                <w:rFonts w:ascii="Arial" w:hAnsi="Arial" w:cs="Arial"/>
                <w:b/>
                <w:bCs/>
                <w:sz w:val="24"/>
                <w:szCs w:val="24"/>
              </w:rPr>
            </w:pPr>
            <w:r w:rsidRPr="00E50E1C">
              <w:rPr>
                <w:rFonts w:ascii="Arial" w:hAnsi="Arial" w:cs="Arial"/>
                <w:b/>
                <w:bCs/>
                <w:sz w:val="24"/>
                <w:szCs w:val="24"/>
              </w:rPr>
              <w:t>The governing body bases its decisions on good quality information and advice and identifies and mitigates risks to the organisation’s purpose</w:t>
            </w:r>
          </w:p>
        </w:tc>
        <w:tc>
          <w:tcPr>
            <w:tcW w:w="4536" w:type="dxa"/>
            <w:shd w:val="clear" w:color="auto" w:fill="auto"/>
          </w:tcPr>
          <w:p w:rsidR="00690F08" w:rsidRPr="00E50E1C" w:rsidRDefault="00690F08" w:rsidP="00690F08">
            <w:pPr>
              <w:spacing w:after="0" w:line="240" w:lineRule="auto"/>
              <w:jc w:val="both"/>
              <w:rPr>
                <w:rFonts w:ascii="Arial" w:hAnsi="Arial" w:cs="Arial"/>
                <w:sz w:val="24"/>
                <w:szCs w:val="24"/>
              </w:rPr>
            </w:pPr>
            <w:r w:rsidRPr="00E50E1C">
              <w:rPr>
                <w:rFonts w:ascii="Arial" w:hAnsi="Arial" w:cs="Arial"/>
                <w:sz w:val="24"/>
                <w:szCs w:val="24"/>
              </w:rPr>
              <w:t>The governing body identifies risks that might prevent it from achieving the RSL’s purpose and has effective strategies and systems for risk management and mitigation, internal control and audit. (Guidance 4.3)</w:t>
            </w:r>
          </w:p>
        </w:tc>
      </w:tr>
    </w:tbl>
    <w:p w:rsidR="00690F08" w:rsidRPr="00E50E1C" w:rsidRDefault="00690F08" w:rsidP="00690F08">
      <w:pPr>
        <w:spacing w:after="0" w:line="240" w:lineRule="auto"/>
        <w:jc w:val="both"/>
        <w:rPr>
          <w:rFonts w:ascii="Arial" w:hAnsi="Arial" w:cs="Arial"/>
          <w:sz w:val="24"/>
          <w:szCs w:val="24"/>
        </w:rPr>
      </w:pPr>
    </w:p>
    <w:p w:rsidR="00690F08" w:rsidRPr="00E50E1C" w:rsidRDefault="00690F08" w:rsidP="00690F08">
      <w:pPr>
        <w:spacing w:after="0" w:line="240" w:lineRule="auto"/>
        <w:jc w:val="both"/>
        <w:rPr>
          <w:rFonts w:ascii="Arial" w:hAnsi="Arial" w:cs="Arial"/>
          <w:sz w:val="24"/>
          <w:szCs w:val="24"/>
        </w:rPr>
      </w:pPr>
    </w:p>
    <w:p w:rsidR="00690F08" w:rsidRPr="00E50E1C" w:rsidRDefault="00690F08" w:rsidP="00690F08">
      <w:pPr>
        <w:spacing w:after="0" w:line="240" w:lineRule="auto"/>
        <w:jc w:val="both"/>
        <w:rPr>
          <w:rFonts w:ascii="Arial" w:hAnsi="Arial" w:cs="Arial"/>
          <w:sz w:val="24"/>
          <w:szCs w:val="24"/>
        </w:rPr>
      </w:pPr>
    </w:p>
    <w:p w:rsidR="00690F08" w:rsidRPr="00E50E1C" w:rsidRDefault="00690F08" w:rsidP="00690F08">
      <w:pPr>
        <w:spacing w:after="0" w:line="240" w:lineRule="auto"/>
        <w:jc w:val="both"/>
        <w:rPr>
          <w:rFonts w:ascii="Arial" w:hAnsi="Arial" w:cs="Arial"/>
          <w:sz w:val="24"/>
          <w:szCs w:val="24"/>
        </w:rPr>
      </w:pPr>
    </w:p>
    <w:p w:rsidR="00690F08" w:rsidRPr="00E50E1C" w:rsidRDefault="00690F08" w:rsidP="00690F08">
      <w:pPr>
        <w:pStyle w:val="Heading1"/>
        <w:numPr>
          <w:ilvl w:val="0"/>
          <w:numId w:val="9"/>
        </w:numPr>
        <w:rPr>
          <w:rFonts w:ascii="Arial" w:hAnsi="Arial" w:cs="Arial"/>
          <w:sz w:val="24"/>
          <w:szCs w:val="24"/>
        </w:rPr>
      </w:pPr>
      <w:bookmarkStart w:id="4" w:name="_Toc511308721"/>
      <w:r w:rsidRPr="00E50E1C">
        <w:rPr>
          <w:rFonts w:ascii="Arial" w:hAnsi="Arial" w:cs="Arial"/>
          <w:sz w:val="24"/>
          <w:szCs w:val="24"/>
        </w:rPr>
        <w:t>Bribery Act 2010</w:t>
      </w:r>
      <w:bookmarkEnd w:id="4"/>
    </w:p>
    <w:p w:rsidR="00690F08" w:rsidRPr="00E50E1C" w:rsidRDefault="00690F08" w:rsidP="00690F08">
      <w:pPr>
        <w:spacing w:after="0" w:line="240" w:lineRule="auto"/>
        <w:ind w:left="720"/>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Govan Housing Association acknowledges the provisions of the Bribery Act 2010 and aims to maintain compliance with this as part of its everyday business. This is particularly relevant when procuring works and services.</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 Govan Housing Association will always carry out its business transparently and fairly and will operate a zero tolerance policy towards bribery by its employees, committee members, contractors, agents and other associated persons.    </w:t>
      </w:r>
    </w:p>
    <w:p w:rsidR="00690F08" w:rsidRPr="00E50E1C" w:rsidRDefault="00690F08" w:rsidP="00690F08">
      <w:pPr>
        <w:pStyle w:val="Heading1"/>
        <w:numPr>
          <w:ilvl w:val="0"/>
          <w:numId w:val="9"/>
        </w:numPr>
        <w:rPr>
          <w:rFonts w:ascii="Arial" w:hAnsi="Arial" w:cs="Arial"/>
          <w:sz w:val="24"/>
          <w:szCs w:val="24"/>
        </w:rPr>
      </w:pPr>
      <w:bookmarkStart w:id="5" w:name="_Toc511308722"/>
      <w:r w:rsidRPr="00E50E1C">
        <w:rPr>
          <w:rFonts w:ascii="Arial" w:hAnsi="Arial" w:cs="Arial"/>
          <w:sz w:val="24"/>
          <w:szCs w:val="24"/>
        </w:rPr>
        <w:t>Procurement activities</w:t>
      </w:r>
      <w:bookmarkEnd w:id="5"/>
    </w:p>
    <w:p w:rsidR="00690F08" w:rsidRPr="00E50E1C" w:rsidRDefault="00690F08" w:rsidP="00690F08">
      <w:pPr>
        <w:tabs>
          <w:tab w:val="left" w:pos="720"/>
        </w:tabs>
        <w:spacing w:after="0" w:line="240" w:lineRule="auto"/>
        <w:jc w:val="both"/>
        <w:rPr>
          <w:rFonts w:ascii="Arial" w:hAnsi="Arial" w:cs="Arial"/>
          <w:b/>
          <w:bCs/>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main goods and services that will require to be procured by the Association are as follows:</w:t>
      </w:r>
    </w:p>
    <w:p w:rsidR="00690F08" w:rsidRPr="00E50E1C" w:rsidRDefault="00690F08" w:rsidP="00690F08">
      <w:pPr>
        <w:tabs>
          <w:tab w:val="left" w:pos="720"/>
        </w:tabs>
        <w:spacing w:after="0" w:line="240" w:lineRule="auto"/>
        <w:jc w:val="both"/>
        <w:rPr>
          <w:rFonts w:ascii="Arial" w:hAnsi="Arial" w:cs="Arial"/>
          <w:sz w:val="24"/>
          <w:szCs w:val="24"/>
        </w:rPr>
      </w:pPr>
    </w:p>
    <w:p w:rsidR="00690F08" w:rsidRPr="00E50E1C" w:rsidRDefault="00690F08" w:rsidP="00690F08">
      <w:pPr>
        <w:numPr>
          <w:ilvl w:val="0"/>
          <w:numId w:val="11"/>
        </w:numPr>
        <w:spacing w:after="0" w:line="240" w:lineRule="auto"/>
        <w:jc w:val="both"/>
        <w:rPr>
          <w:rFonts w:ascii="Arial" w:hAnsi="Arial" w:cs="Arial"/>
          <w:sz w:val="24"/>
          <w:szCs w:val="24"/>
        </w:rPr>
      </w:pPr>
      <w:r w:rsidRPr="00E50E1C">
        <w:rPr>
          <w:rFonts w:ascii="Arial" w:hAnsi="Arial" w:cs="Arial"/>
          <w:sz w:val="24"/>
          <w:szCs w:val="24"/>
        </w:rPr>
        <w:t>Small items of office supplies or other consumable products.</w:t>
      </w:r>
    </w:p>
    <w:p w:rsidR="00690F08" w:rsidRPr="00E50E1C" w:rsidRDefault="00690F08" w:rsidP="00690F08">
      <w:pPr>
        <w:numPr>
          <w:ilvl w:val="0"/>
          <w:numId w:val="11"/>
        </w:numPr>
        <w:spacing w:after="0" w:line="240" w:lineRule="auto"/>
        <w:jc w:val="both"/>
        <w:rPr>
          <w:rFonts w:ascii="Arial" w:hAnsi="Arial" w:cs="Arial"/>
          <w:sz w:val="24"/>
          <w:szCs w:val="24"/>
        </w:rPr>
      </w:pPr>
      <w:r w:rsidRPr="00E50E1C">
        <w:rPr>
          <w:rFonts w:ascii="Arial" w:hAnsi="Arial" w:cs="Arial"/>
          <w:sz w:val="24"/>
          <w:szCs w:val="24"/>
        </w:rPr>
        <w:t>All office printing, stationery, postage and other materials.</w:t>
      </w:r>
    </w:p>
    <w:p w:rsidR="00690F08" w:rsidRPr="00E50E1C" w:rsidRDefault="00690F08" w:rsidP="00690F08">
      <w:pPr>
        <w:numPr>
          <w:ilvl w:val="0"/>
          <w:numId w:val="11"/>
        </w:numPr>
        <w:spacing w:after="0" w:line="240" w:lineRule="auto"/>
        <w:jc w:val="both"/>
        <w:rPr>
          <w:rFonts w:ascii="Arial" w:hAnsi="Arial" w:cs="Arial"/>
          <w:sz w:val="24"/>
          <w:szCs w:val="24"/>
        </w:rPr>
      </w:pPr>
      <w:r w:rsidRPr="00E50E1C">
        <w:rPr>
          <w:rFonts w:ascii="Arial" w:hAnsi="Arial" w:cs="Arial"/>
          <w:sz w:val="24"/>
          <w:szCs w:val="24"/>
        </w:rPr>
        <w:t>Trade materials used by the HOME team.</w:t>
      </w:r>
    </w:p>
    <w:p w:rsidR="00690F08" w:rsidRPr="00E50E1C" w:rsidRDefault="00690F08" w:rsidP="00690F08">
      <w:pPr>
        <w:numPr>
          <w:ilvl w:val="0"/>
          <w:numId w:val="11"/>
        </w:numPr>
        <w:spacing w:after="0" w:line="240" w:lineRule="auto"/>
        <w:jc w:val="both"/>
        <w:rPr>
          <w:rFonts w:ascii="Arial" w:hAnsi="Arial" w:cs="Arial"/>
          <w:sz w:val="24"/>
          <w:szCs w:val="24"/>
        </w:rPr>
      </w:pPr>
      <w:r w:rsidRPr="00E50E1C">
        <w:rPr>
          <w:rFonts w:ascii="Arial" w:hAnsi="Arial" w:cs="Arial"/>
          <w:sz w:val="24"/>
          <w:szCs w:val="24"/>
        </w:rPr>
        <w:t>Office furniture and equipment.</w:t>
      </w:r>
    </w:p>
    <w:p w:rsidR="00690F08" w:rsidRPr="00E50E1C" w:rsidRDefault="00690F08" w:rsidP="00690F08">
      <w:pPr>
        <w:numPr>
          <w:ilvl w:val="0"/>
          <w:numId w:val="11"/>
        </w:numPr>
        <w:spacing w:after="0" w:line="240" w:lineRule="auto"/>
        <w:jc w:val="both"/>
        <w:rPr>
          <w:rFonts w:ascii="Arial" w:hAnsi="Arial" w:cs="Arial"/>
          <w:sz w:val="24"/>
          <w:szCs w:val="24"/>
        </w:rPr>
      </w:pPr>
      <w:r w:rsidRPr="00E50E1C">
        <w:rPr>
          <w:rFonts w:ascii="Arial" w:hAnsi="Arial" w:cs="Arial"/>
          <w:sz w:val="24"/>
          <w:szCs w:val="24"/>
        </w:rPr>
        <w:t>ICT equipment and ‘back-up’ services.</w:t>
      </w:r>
    </w:p>
    <w:p w:rsidR="00690F08" w:rsidRPr="00E50E1C" w:rsidRDefault="00690F08" w:rsidP="00690F08">
      <w:pPr>
        <w:numPr>
          <w:ilvl w:val="0"/>
          <w:numId w:val="11"/>
        </w:numPr>
        <w:spacing w:after="0" w:line="240" w:lineRule="auto"/>
        <w:jc w:val="both"/>
        <w:rPr>
          <w:rFonts w:ascii="Arial" w:hAnsi="Arial" w:cs="Arial"/>
          <w:sz w:val="24"/>
          <w:szCs w:val="24"/>
        </w:rPr>
      </w:pPr>
      <w:r w:rsidRPr="00E50E1C">
        <w:rPr>
          <w:rFonts w:ascii="Arial" w:hAnsi="Arial" w:cs="Arial"/>
          <w:sz w:val="24"/>
          <w:szCs w:val="24"/>
        </w:rPr>
        <w:t>Maintenance contracts related to office-based equipment or services, e.g. ICT equipment, fire and security alarm systems.</w:t>
      </w:r>
    </w:p>
    <w:p w:rsidR="00690F08" w:rsidRPr="00E50E1C" w:rsidRDefault="00690F08" w:rsidP="00690F08">
      <w:pPr>
        <w:numPr>
          <w:ilvl w:val="0"/>
          <w:numId w:val="11"/>
        </w:numPr>
        <w:spacing w:after="0" w:line="240" w:lineRule="auto"/>
        <w:jc w:val="both"/>
        <w:rPr>
          <w:rFonts w:ascii="Arial" w:hAnsi="Arial" w:cs="Arial"/>
          <w:sz w:val="24"/>
          <w:szCs w:val="24"/>
        </w:rPr>
      </w:pPr>
      <w:r w:rsidRPr="00E50E1C">
        <w:rPr>
          <w:rFonts w:ascii="Arial" w:hAnsi="Arial" w:cs="Arial"/>
          <w:sz w:val="24"/>
          <w:szCs w:val="24"/>
        </w:rPr>
        <w:t>Professional services including internal auditors, external auditors, solicitors, bankers, insurance brokers, architects, design consultants, and management consultants employed on specific projects.</w:t>
      </w:r>
    </w:p>
    <w:p w:rsidR="00690F08" w:rsidRPr="00E50E1C" w:rsidRDefault="00690F08" w:rsidP="00690F08">
      <w:pPr>
        <w:numPr>
          <w:ilvl w:val="0"/>
          <w:numId w:val="11"/>
        </w:numPr>
        <w:spacing w:after="0" w:line="240" w:lineRule="auto"/>
        <w:jc w:val="both"/>
        <w:rPr>
          <w:rFonts w:ascii="Arial" w:hAnsi="Arial" w:cs="Arial"/>
          <w:b/>
          <w:bCs/>
          <w:sz w:val="24"/>
          <w:szCs w:val="24"/>
        </w:rPr>
      </w:pPr>
      <w:r w:rsidRPr="00E50E1C">
        <w:rPr>
          <w:rFonts w:ascii="Arial" w:hAnsi="Arial" w:cs="Arial"/>
          <w:sz w:val="24"/>
          <w:szCs w:val="24"/>
        </w:rPr>
        <w:t xml:space="preserve">Contractors covering the full range of trades and professions. </w:t>
      </w:r>
    </w:p>
    <w:p w:rsidR="00690F08" w:rsidRPr="00E50E1C" w:rsidRDefault="00690F08" w:rsidP="00690F08">
      <w:pPr>
        <w:pStyle w:val="Heading1"/>
        <w:numPr>
          <w:ilvl w:val="0"/>
          <w:numId w:val="9"/>
        </w:numPr>
        <w:rPr>
          <w:rFonts w:ascii="Arial" w:hAnsi="Arial" w:cs="Arial"/>
          <w:sz w:val="24"/>
          <w:szCs w:val="24"/>
        </w:rPr>
      </w:pPr>
      <w:bookmarkStart w:id="6" w:name="_Toc511308723"/>
      <w:r w:rsidRPr="00E50E1C">
        <w:rPr>
          <w:rFonts w:ascii="Arial" w:hAnsi="Arial" w:cs="Arial"/>
          <w:sz w:val="24"/>
          <w:szCs w:val="24"/>
        </w:rPr>
        <w:t>Value for Money</w:t>
      </w:r>
      <w:bookmarkEnd w:id="6"/>
    </w:p>
    <w:p w:rsidR="00690F08" w:rsidRPr="00E50E1C" w:rsidRDefault="00690F08" w:rsidP="00690F08">
      <w:pPr>
        <w:spacing w:after="0" w:line="240" w:lineRule="auto"/>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In all our procurement activities we will aim to achieve the best ‘value for money’ in a sustainable manner by ensuring that, whenever appropriate, we assess quality, cost and sustainability.  We recognise that the lowest cost will not necessarily be the best value in the longer term, particularly when the contract being procured has a high degree of service delivery.</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We recognise the importance of sustainable procurement, and our duty to demonstrate that we are procuring in a manner that improves the economic, social and environmental well being (this includes reduction of inequality) of the communities in which we operate. </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Sustainable procurement should be balanced with value for money and quality and needs to be proportionate to the risk involved in each individual procurement.</w:t>
      </w:r>
    </w:p>
    <w:p w:rsidR="00690F08" w:rsidRPr="00E50E1C" w:rsidRDefault="00690F08" w:rsidP="00690F08">
      <w:pPr>
        <w:spacing w:after="0" w:line="240" w:lineRule="auto"/>
        <w:jc w:val="both"/>
        <w:rPr>
          <w:rFonts w:ascii="Arial" w:hAnsi="Arial" w:cs="Arial"/>
          <w:sz w:val="24"/>
          <w:szCs w:val="24"/>
        </w:rPr>
      </w:pPr>
    </w:p>
    <w:p w:rsidR="00100011" w:rsidRPr="00E50E1C" w:rsidRDefault="00100011" w:rsidP="00690F08">
      <w:pPr>
        <w:spacing w:after="0" w:line="240" w:lineRule="auto"/>
        <w:jc w:val="both"/>
        <w:rPr>
          <w:rFonts w:ascii="Arial" w:hAnsi="Arial" w:cs="Arial"/>
          <w:sz w:val="24"/>
          <w:szCs w:val="24"/>
        </w:rPr>
      </w:pPr>
    </w:p>
    <w:p w:rsidR="00100011" w:rsidRPr="00E50E1C" w:rsidRDefault="00100011" w:rsidP="00690F08">
      <w:pPr>
        <w:spacing w:after="0" w:line="240" w:lineRule="auto"/>
        <w:jc w:val="both"/>
        <w:rPr>
          <w:rFonts w:ascii="Arial" w:hAnsi="Arial" w:cs="Arial"/>
          <w:sz w:val="24"/>
          <w:szCs w:val="24"/>
        </w:rPr>
      </w:pPr>
    </w:p>
    <w:p w:rsidR="00100011" w:rsidRPr="00E50E1C" w:rsidRDefault="00100011" w:rsidP="00690F08">
      <w:pPr>
        <w:spacing w:after="0" w:line="240" w:lineRule="auto"/>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We will ensure that our procurement processes are fair and comply with </w:t>
      </w:r>
      <w:r w:rsidR="00FC73F2" w:rsidRPr="00E50E1C">
        <w:rPr>
          <w:rFonts w:ascii="Arial" w:hAnsi="Arial" w:cs="Arial"/>
          <w:sz w:val="24"/>
          <w:szCs w:val="24"/>
        </w:rPr>
        <w:t xml:space="preserve">all relevant </w:t>
      </w:r>
      <w:r w:rsidRPr="00E50E1C">
        <w:rPr>
          <w:rFonts w:ascii="Arial" w:hAnsi="Arial" w:cs="Arial"/>
          <w:sz w:val="24"/>
          <w:szCs w:val="24"/>
        </w:rPr>
        <w:t xml:space="preserve">legal requirements </w:t>
      </w:r>
      <w:r w:rsidR="00FC73F2" w:rsidRPr="00E50E1C">
        <w:rPr>
          <w:rFonts w:ascii="Arial" w:hAnsi="Arial" w:cs="Arial"/>
          <w:sz w:val="24"/>
          <w:szCs w:val="24"/>
        </w:rPr>
        <w:t>including the</w:t>
      </w:r>
      <w:r w:rsidRPr="00E50E1C">
        <w:rPr>
          <w:rFonts w:ascii="Arial" w:hAnsi="Arial" w:cs="Arial"/>
          <w:sz w:val="24"/>
          <w:szCs w:val="24"/>
        </w:rPr>
        <w:t xml:space="preserve"> Procurement Reform (Scotland) Act 2014 and any supplementary guidance issued by the Scottish Government.</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specific procurement approach adopted will be based on the nature, scale and value of the contract being awarded.</w:t>
      </w:r>
    </w:p>
    <w:p w:rsidR="00690F08" w:rsidRPr="00E50E1C" w:rsidRDefault="00690F08" w:rsidP="00690F08">
      <w:pPr>
        <w:tabs>
          <w:tab w:val="left" w:pos="720"/>
        </w:tabs>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Where it is appropriate to consider tenders on a basis other than purely price, a scoring matrix will be developed.  The factors scored will vary depending on the nature of the goods or service being procured, with the weighting of the different factors considered and determined in advance. The scoring criteria will be provided to all companies as part of the tender packs being issued.</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In making procurement decisions we will also seek to contribute to maintaining and improving the environment, both by purchasing recycled or ‘environmentally friendly’ fair and ethically traded goods and items whenever possible and/or by supporting suppliers or contractors whose values and production processes are environmentally positive.</w:t>
      </w:r>
    </w:p>
    <w:p w:rsidR="00690F08" w:rsidRPr="00E50E1C" w:rsidRDefault="00690F08" w:rsidP="00690F08">
      <w:pPr>
        <w:pStyle w:val="Heading1"/>
        <w:numPr>
          <w:ilvl w:val="0"/>
          <w:numId w:val="9"/>
        </w:numPr>
        <w:rPr>
          <w:rFonts w:ascii="Arial" w:hAnsi="Arial" w:cs="Arial"/>
          <w:b w:val="0"/>
          <w:bCs w:val="0"/>
          <w:sz w:val="24"/>
          <w:szCs w:val="24"/>
        </w:rPr>
      </w:pPr>
      <w:bookmarkStart w:id="7" w:name="_Toc511308724"/>
      <w:r w:rsidRPr="00E50E1C">
        <w:rPr>
          <w:rFonts w:ascii="Arial" w:hAnsi="Arial" w:cs="Arial"/>
          <w:sz w:val="24"/>
          <w:szCs w:val="24"/>
        </w:rPr>
        <w:t>Authority to incur expenditure</w:t>
      </w:r>
      <w:bookmarkEnd w:id="7"/>
    </w:p>
    <w:p w:rsidR="00690F08" w:rsidRPr="00E50E1C" w:rsidRDefault="00690F08" w:rsidP="00690F08">
      <w:pPr>
        <w:spacing w:after="0" w:line="240" w:lineRule="auto"/>
        <w:jc w:val="both"/>
        <w:rPr>
          <w:rFonts w:ascii="Arial" w:hAnsi="Arial" w:cs="Arial"/>
          <w:b/>
          <w:bCs/>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Where the proposed expenditure is already included in the approved    annual budget, the Management Committee will delegate the authority to incur expenditure to the appropriate member of staff, as detailed in </w:t>
      </w:r>
      <w:r w:rsidRPr="00E50E1C">
        <w:rPr>
          <w:rFonts w:ascii="Arial" w:hAnsi="Arial" w:cs="Arial"/>
          <w:b/>
          <w:sz w:val="24"/>
          <w:szCs w:val="24"/>
        </w:rPr>
        <w:t>Appendix 1</w:t>
      </w:r>
      <w:r w:rsidRPr="00E50E1C">
        <w:rPr>
          <w:rFonts w:ascii="Arial" w:hAnsi="Arial" w:cs="Arial"/>
          <w:sz w:val="24"/>
          <w:szCs w:val="24"/>
        </w:rPr>
        <w:t>.</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Where the proposed expenditure is not included in the approved annual budget, either because it is an item or group of items not considered when the budget was drawn up or because the expenditure will result in an approved budget becoming overspent, virement</w:t>
      </w:r>
      <w:r w:rsidRPr="00E50E1C">
        <w:rPr>
          <w:rStyle w:val="FootnoteReference"/>
          <w:rFonts w:ascii="Arial" w:hAnsi="Arial" w:cs="Arial"/>
          <w:sz w:val="24"/>
          <w:szCs w:val="24"/>
        </w:rPr>
        <w:footnoteReference w:id="2"/>
      </w:r>
      <w:r w:rsidRPr="00E50E1C">
        <w:rPr>
          <w:rFonts w:ascii="Arial" w:hAnsi="Arial" w:cs="Arial"/>
          <w:sz w:val="24"/>
          <w:szCs w:val="24"/>
        </w:rPr>
        <w:t xml:space="preserve"> will be permitted. This will be subject to prior written approval of the Chief Executive, provided that the additional expenditure does not exceed £20,000 and the total approved budget will not be exceeded.  </w:t>
      </w:r>
    </w:p>
    <w:p w:rsidR="00690F08" w:rsidRPr="00E50E1C" w:rsidRDefault="00690F08" w:rsidP="00690F08">
      <w:pPr>
        <w:pStyle w:val="ListParagraph"/>
        <w:spacing w:after="0" w:line="240" w:lineRule="auto"/>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When virement is proposed for sums in excess of £20,000 this will require the prior approval of the Management Committee.</w:t>
      </w:r>
    </w:p>
    <w:p w:rsidR="00690F08" w:rsidRPr="00E50E1C" w:rsidRDefault="00690F08" w:rsidP="00690F08">
      <w:pPr>
        <w:spacing w:after="0" w:line="240" w:lineRule="auto"/>
        <w:rPr>
          <w:rFonts w:ascii="Arial" w:hAnsi="Arial" w:cs="Arial"/>
          <w:sz w:val="24"/>
          <w:szCs w:val="24"/>
        </w:rPr>
      </w:pPr>
    </w:p>
    <w:p w:rsidR="00FE6121"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In circumstances of emergency, expenditure may be incurred beyond authorisation levels by obtaining the prior approval of the most senior member of staff on duty and the Chairperson of the Association, who will consult a member of the Executive Management Team, if possible, before agreeing to any request. </w:t>
      </w:r>
    </w:p>
    <w:p w:rsidR="00FE6121" w:rsidRDefault="00FE6121" w:rsidP="00FE6121">
      <w:pPr>
        <w:pStyle w:val="ListParagraph"/>
        <w:rPr>
          <w:rFonts w:ascii="Arial" w:hAnsi="Arial" w:cs="Arial"/>
          <w:sz w:val="24"/>
          <w:szCs w:val="24"/>
        </w:rPr>
      </w:pPr>
    </w:p>
    <w:p w:rsidR="00690F08" w:rsidRPr="00E50E1C" w:rsidRDefault="00690F08" w:rsidP="00FE6121">
      <w:pPr>
        <w:spacing w:after="0" w:line="240" w:lineRule="auto"/>
        <w:ind w:left="709"/>
        <w:jc w:val="both"/>
        <w:rPr>
          <w:rFonts w:ascii="Arial" w:hAnsi="Arial" w:cs="Arial"/>
          <w:sz w:val="24"/>
          <w:szCs w:val="24"/>
        </w:rPr>
      </w:pPr>
      <w:r w:rsidRPr="00E50E1C">
        <w:rPr>
          <w:rFonts w:ascii="Arial" w:hAnsi="Arial" w:cs="Arial"/>
          <w:sz w:val="24"/>
          <w:szCs w:val="24"/>
        </w:rPr>
        <w:lastRenderedPageBreak/>
        <w:t>Any expenditure so incurred must be reported by the Chief Executive to the next meeting of the Management Committee detailing how this expenditure will be financed.</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Management Committee will review the levels of delegated authority annually to ensure that they remain relevant to current expenditure patterns, budgets and cost inflation, whilst ensuring that there are adequate financial controls for procurement at all levels.</w:t>
      </w:r>
    </w:p>
    <w:p w:rsidR="00690F08" w:rsidRPr="00E50E1C" w:rsidRDefault="00690F08" w:rsidP="00690F08">
      <w:pPr>
        <w:pStyle w:val="Heading1"/>
        <w:numPr>
          <w:ilvl w:val="0"/>
          <w:numId w:val="9"/>
        </w:numPr>
        <w:rPr>
          <w:rFonts w:ascii="Arial" w:hAnsi="Arial" w:cs="Arial"/>
          <w:sz w:val="24"/>
          <w:szCs w:val="24"/>
        </w:rPr>
      </w:pPr>
      <w:bookmarkStart w:id="8" w:name="_Toc511308725"/>
      <w:r w:rsidRPr="00E50E1C">
        <w:rPr>
          <w:rFonts w:ascii="Arial" w:hAnsi="Arial" w:cs="Arial"/>
          <w:sz w:val="24"/>
          <w:szCs w:val="24"/>
        </w:rPr>
        <w:t>Financial Limits</w:t>
      </w:r>
      <w:bookmarkEnd w:id="8"/>
    </w:p>
    <w:p w:rsidR="00690F08" w:rsidRPr="00E50E1C" w:rsidRDefault="00690F08" w:rsidP="00690F08">
      <w:pPr>
        <w:tabs>
          <w:tab w:val="left" w:pos="720"/>
        </w:tabs>
        <w:spacing w:after="0" w:line="240" w:lineRule="auto"/>
        <w:jc w:val="both"/>
        <w:rPr>
          <w:rFonts w:ascii="Arial" w:hAnsi="Arial" w:cs="Arial"/>
          <w:b/>
          <w:bCs/>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b/>
          <w:sz w:val="24"/>
          <w:szCs w:val="24"/>
        </w:rPr>
        <w:tab/>
        <w:t xml:space="preserve">Appendix 1 </w:t>
      </w:r>
      <w:r w:rsidRPr="00E50E1C">
        <w:rPr>
          <w:rFonts w:ascii="Arial" w:hAnsi="Arial" w:cs="Arial"/>
          <w:sz w:val="24"/>
          <w:szCs w:val="24"/>
        </w:rPr>
        <w:t>lays out the thresholds of contracts and the methods of appropriate procurement.</w:t>
      </w:r>
    </w:p>
    <w:p w:rsidR="00690F08" w:rsidRPr="00E50E1C" w:rsidRDefault="00690F08" w:rsidP="00690F08">
      <w:pPr>
        <w:pStyle w:val="BodyText"/>
        <w:spacing w:after="0"/>
        <w:ind w:left="720" w:hanging="720"/>
        <w:jc w:val="both"/>
        <w:rPr>
          <w:rFonts w:ascii="Arial" w:hAnsi="Arial" w:cs="Arial"/>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 xml:space="preserve">The Management Committee will review these financial limits annually, or earlier if the business requires it, to ensure that they remain appropriate for effective governance.  </w:t>
      </w:r>
    </w:p>
    <w:p w:rsidR="00690F08" w:rsidRPr="00E50E1C" w:rsidRDefault="00690F08" w:rsidP="00690F08">
      <w:pPr>
        <w:pStyle w:val="Heading1"/>
        <w:numPr>
          <w:ilvl w:val="0"/>
          <w:numId w:val="9"/>
        </w:numPr>
        <w:rPr>
          <w:rFonts w:ascii="Arial" w:hAnsi="Arial" w:cs="Arial"/>
          <w:sz w:val="24"/>
          <w:szCs w:val="24"/>
        </w:rPr>
      </w:pPr>
      <w:bookmarkStart w:id="9" w:name="_Toc511308726"/>
      <w:r w:rsidRPr="00E50E1C">
        <w:rPr>
          <w:rFonts w:ascii="Arial" w:hAnsi="Arial" w:cs="Arial"/>
          <w:sz w:val="24"/>
          <w:szCs w:val="24"/>
        </w:rPr>
        <w:t>Obtaining prices, quotations and tenders</w:t>
      </w:r>
      <w:bookmarkEnd w:id="9"/>
    </w:p>
    <w:p w:rsidR="00690F08" w:rsidRPr="00E50E1C" w:rsidRDefault="00690F08" w:rsidP="00690F08">
      <w:pPr>
        <w:pStyle w:val="BodyText"/>
        <w:spacing w:after="0"/>
        <w:jc w:val="both"/>
        <w:rPr>
          <w:rFonts w:ascii="Arial" w:hAnsi="Arial" w:cs="Arial"/>
          <w:b/>
          <w:bCs/>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 xml:space="preserve">The summary table in </w:t>
      </w:r>
      <w:r w:rsidRPr="00E50E1C">
        <w:rPr>
          <w:rFonts w:ascii="Arial" w:hAnsi="Arial" w:cs="Arial"/>
          <w:b/>
          <w:sz w:val="24"/>
          <w:szCs w:val="24"/>
        </w:rPr>
        <w:t>Appendix 1</w:t>
      </w:r>
      <w:r w:rsidRPr="00E50E1C">
        <w:rPr>
          <w:rFonts w:ascii="Arial" w:hAnsi="Arial" w:cs="Arial"/>
          <w:sz w:val="24"/>
          <w:szCs w:val="24"/>
        </w:rPr>
        <w:t xml:space="preserve"> also sets out the different methods of obtaining prices, quotations and tenders that must be followed when procuring good and services.  These methods are based on the value of the procurement and show the acceptable procurement method and the necessary level of approval. </w:t>
      </w:r>
    </w:p>
    <w:p w:rsidR="00690F08" w:rsidRPr="00E50E1C" w:rsidRDefault="00690F08" w:rsidP="00690F08">
      <w:pPr>
        <w:tabs>
          <w:tab w:val="num" w:pos="709"/>
        </w:tabs>
        <w:spacing w:after="0" w:line="240" w:lineRule="auto"/>
        <w:ind w:left="709"/>
        <w:jc w:val="both"/>
        <w:rPr>
          <w:rFonts w:ascii="Arial" w:hAnsi="Arial" w:cs="Arial"/>
          <w:b/>
          <w:i/>
          <w:sz w:val="24"/>
          <w:szCs w:val="24"/>
        </w:rPr>
      </w:pPr>
    </w:p>
    <w:p w:rsidR="00690F08" w:rsidRPr="00E50E1C" w:rsidRDefault="00690F08" w:rsidP="00690F08">
      <w:pPr>
        <w:tabs>
          <w:tab w:val="num" w:pos="709"/>
        </w:tabs>
        <w:spacing w:after="0" w:line="240" w:lineRule="auto"/>
        <w:ind w:left="709"/>
        <w:jc w:val="both"/>
        <w:rPr>
          <w:rFonts w:ascii="Arial" w:hAnsi="Arial" w:cs="Arial"/>
          <w:b/>
          <w:sz w:val="24"/>
          <w:szCs w:val="24"/>
        </w:rPr>
      </w:pPr>
      <w:r w:rsidRPr="00E50E1C">
        <w:rPr>
          <w:rFonts w:ascii="Arial" w:hAnsi="Arial" w:cs="Arial"/>
          <w:b/>
          <w:sz w:val="24"/>
          <w:szCs w:val="24"/>
        </w:rPr>
        <w:t>Prices</w:t>
      </w:r>
      <w:r w:rsidRPr="00E50E1C">
        <w:rPr>
          <w:rFonts w:ascii="Arial" w:hAnsi="Arial" w:cs="Arial"/>
          <w:b/>
          <w:sz w:val="24"/>
          <w:szCs w:val="24"/>
        </w:rPr>
        <w:tab/>
      </w:r>
    </w:p>
    <w:p w:rsidR="00690F08" w:rsidRPr="00E50E1C" w:rsidRDefault="00690F08" w:rsidP="00690F08">
      <w:pPr>
        <w:tabs>
          <w:tab w:val="num" w:pos="709"/>
        </w:tabs>
        <w:spacing w:after="0" w:line="240" w:lineRule="auto"/>
        <w:ind w:left="709"/>
        <w:jc w:val="both"/>
        <w:rPr>
          <w:rFonts w:ascii="Arial" w:hAnsi="Arial" w:cs="Arial"/>
          <w:b/>
          <w:i/>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For items under the current cost limit which do not require quotations or tenders, the authorised member of staff will, where appropriate and/or possible, seek to check at least two alternative prices either by telephone, by accessing a current catalogue or price list, or by requesting details by e-mail.</w:t>
      </w:r>
    </w:p>
    <w:p w:rsidR="00690F08" w:rsidRPr="00E50E1C" w:rsidRDefault="00690F08" w:rsidP="00690F08">
      <w:pPr>
        <w:spacing w:after="0" w:line="240" w:lineRule="auto"/>
        <w:ind w:left="709"/>
        <w:jc w:val="both"/>
        <w:rPr>
          <w:rFonts w:ascii="Arial" w:hAnsi="Arial" w:cs="Arial"/>
          <w:sz w:val="24"/>
          <w:szCs w:val="24"/>
        </w:rPr>
      </w:pPr>
      <w:r w:rsidRPr="00E50E1C">
        <w:rPr>
          <w:rFonts w:ascii="Arial" w:hAnsi="Arial" w:cs="Arial"/>
          <w:sz w:val="24"/>
          <w:szCs w:val="24"/>
        </w:rPr>
        <w:tab/>
      </w:r>
    </w:p>
    <w:p w:rsidR="00690F08" w:rsidRPr="00E50E1C" w:rsidRDefault="00690F08" w:rsidP="00690F08">
      <w:pPr>
        <w:tabs>
          <w:tab w:val="num" w:pos="709"/>
        </w:tabs>
        <w:spacing w:after="0" w:line="240" w:lineRule="auto"/>
        <w:ind w:left="709"/>
        <w:jc w:val="both"/>
        <w:rPr>
          <w:rFonts w:ascii="Arial" w:hAnsi="Arial" w:cs="Arial"/>
          <w:b/>
          <w:i/>
          <w:sz w:val="24"/>
          <w:szCs w:val="24"/>
        </w:rPr>
      </w:pPr>
      <w:r w:rsidRPr="00E50E1C">
        <w:rPr>
          <w:rFonts w:ascii="Arial" w:hAnsi="Arial" w:cs="Arial"/>
          <w:b/>
          <w:i/>
          <w:sz w:val="24"/>
          <w:szCs w:val="24"/>
        </w:rPr>
        <w:tab/>
      </w:r>
      <w:r w:rsidRPr="00E50E1C">
        <w:rPr>
          <w:rFonts w:ascii="Arial" w:hAnsi="Arial" w:cs="Arial"/>
          <w:b/>
          <w:sz w:val="24"/>
          <w:szCs w:val="24"/>
        </w:rPr>
        <w:t>Quotations</w:t>
      </w:r>
    </w:p>
    <w:p w:rsidR="00690F08" w:rsidRPr="00E50E1C" w:rsidRDefault="00690F08" w:rsidP="00690F08">
      <w:pPr>
        <w:tabs>
          <w:tab w:val="num" w:pos="709"/>
        </w:tabs>
        <w:spacing w:after="0" w:line="240" w:lineRule="auto"/>
        <w:ind w:left="709"/>
        <w:jc w:val="both"/>
        <w:rPr>
          <w:rFonts w:ascii="Arial" w:hAnsi="Arial" w:cs="Arial"/>
          <w:b/>
          <w:i/>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 xml:space="preserve">Quotations may be requested either verbally or in writing. In either case, the authorised member of staff will ensure that sufficient detail is provided to those invited to quote to enable accurate, comparable quotes to be received. </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tabs>
          <w:tab w:val="num" w:pos="709"/>
        </w:tabs>
        <w:spacing w:after="0" w:line="240" w:lineRule="auto"/>
        <w:ind w:left="709"/>
        <w:jc w:val="both"/>
        <w:rPr>
          <w:rFonts w:ascii="Arial" w:hAnsi="Arial" w:cs="Arial"/>
          <w:b/>
          <w:sz w:val="24"/>
          <w:szCs w:val="24"/>
        </w:rPr>
      </w:pPr>
      <w:r w:rsidRPr="00E50E1C">
        <w:rPr>
          <w:rFonts w:ascii="Arial" w:hAnsi="Arial" w:cs="Arial"/>
          <w:b/>
          <w:sz w:val="24"/>
          <w:szCs w:val="24"/>
        </w:rPr>
        <w:t>Tenders</w:t>
      </w:r>
    </w:p>
    <w:p w:rsidR="00690F08" w:rsidRPr="00E50E1C" w:rsidRDefault="00690F08" w:rsidP="00690F08">
      <w:pPr>
        <w:tabs>
          <w:tab w:val="num" w:pos="709"/>
        </w:tabs>
        <w:spacing w:after="0" w:line="240" w:lineRule="auto"/>
        <w:ind w:left="709"/>
        <w:jc w:val="both"/>
        <w:rPr>
          <w:rFonts w:ascii="Arial" w:hAnsi="Arial" w:cs="Arial"/>
          <w:b/>
          <w:i/>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Following the development of the appropriate tender documentation, suppliers will be invited to tender.</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Reports on tenders and recommendations will be presented to the Management Committee for approval prior to contracts being awarded.</w:t>
      </w:r>
    </w:p>
    <w:p w:rsidR="00690F08" w:rsidRPr="00E50E1C" w:rsidRDefault="00690F08" w:rsidP="00690F08">
      <w:pPr>
        <w:pStyle w:val="ListParagraph"/>
        <w:spacing w:after="0" w:line="240" w:lineRule="auto"/>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lastRenderedPageBreak/>
        <w:t>If there are time constraints, the Management Committee may consider delegating authority to the Chief Executive to approve contracts up to a pre-approved level with a retrospective report presented to the Committee at the next available meeting.</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As outlined above some goods and services may be procured on a basis other than purely price e.g. price, quality and/or sustainability.  Where this is the case, appropriate criteria and ratios will be agreed and be clearly set out for tenderers in advance.</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tabs>
          <w:tab w:val="num" w:pos="709"/>
        </w:tabs>
        <w:spacing w:after="0" w:line="240" w:lineRule="auto"/>
        <w:ind w:left="709"/>
        <w:jc w:val="both"/>
        <w:rPr>
          <w:rFonts w:ascii="Arial" w:hAnsi="Arial" w:cs="Arial"/>
          <w:b/>
          <w:sz w:val="24"/>
          <w:szCs w:val="24"/>
        </w:rPr>
      </w:pPr>
      <w:r w:rsidRPr="00E50E1C">
        <w:rPr>
          <w:rFonts w:ascii="Arial" w:hAnsi="Arial" w:cs="Arial"/>
          <w:b/>
          <w:sz w:val="24"/>
          <w:szCs w:val="24"/>
        </w:rPr>
        <w:t>Negotiation</w:t>
      </w:r>
    </w:p>
    <w:p w:rsidR="00781005" w:rsidRPr="00E50E1C" w:rsidRDefault="00781005" w:rsidP="00690F08">
      <w:pPr>
        <w:tabs>
          <w:tab w:val="num" w:pos="709"/>
        </w:tabs>
        <w:spacing w:after="0" w:line="240" w:lineRule="auto"/>
        <w:ind w:left="709"/>
        <w:jc w:val="both"/>
        <w:rPr>
          <w:rFonts w:ascii="Arial" w:hAnsi="Arial" w:cs="Arial"/>
          <w:b/>
          <w:i/>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Where it is proposed that contracts are procured through negotiation, there must be clear justification for doing so and the decision to enter into contracts based on negotiation must be approved at the appropriate level of authority.</w:t>
      </w:r>
    </w:p>
    <w:p w:rsidR="00690F08" w:rsidRPr="00E50E1C" w:rsidRDefault="00690F08" w:rsidP="00781005">
      <w:pPr>
        <w:pStyle w:val="Heading1"/>
        <w:numPr>
          <w:ilvl w:val="0"/>
          <w:numId w:val="9"/>
        </w:numPr>
        <w:rPr>
          <w:rFonts w:ascii="Arial" w:hAnsi="Arial" w:cs="Arial"/>
          <w:sz w:val="24"/>
          <w:szCs w:val="24"/>
        </w:rPr>
      </w:pPr>
      <w:bookmarkStart w:id="10" w:name="_Toc511308727"/>
      <w:r w:rsidRPr="00E50E1C">
        <w:rPr>
          <w:rFonts w:ascii="Arial" w:hAnsi="Arial" w:cs="Arial"/>
          <w:sz w:val="24"/>
          <w:szCs w:val="24"/>
        </w:rPr>
        <w:t>Contracts and Service agreements</w:t>
      </w:r>
      <w:bookmarkEnd w:id="10"/>
    </w:p>
    <w:p w:rsidR="00690F08" w:rsidRPr="00E50E1C" w:rsidRDefault="00690F08" w:rsidP="00690F08">
      <w:pPr>
        <w:pStyle w:val="BodyText"/>
        <w:widowControl/>
        <w:spacing w:after="0"/>
        <w:ind w:left="720"/>
        <w:jc w:val="both"/>
        <w:rPr>
          <w:rFonts w:ascii="Arial" w:hAnsi="Arial" w:cs="Arial"/>
          <w:b/>
          <w:bCs/>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 xml:space="preserve">We will procure certain services through contracts or service agreements for periods of one year or longer, where appropriate. Examples are contracts for the provision of lift maintenance, agreements for the servicing of office equipment, fire and security alarms. Threshold levels for the life of the contract as per </w:t>
      </w:r>
      <w:r w:rsidRPr="00E50E1C">
        <w:rPr>
          <w:rFonts w:ascii="Arial" w:hAnsi="Arial" w:cs="Arial"/>
          <w:b/>
          <w:sz w:val="24"/>
          <w:szCs w:val="24"/>
        </w:rPr>
        <w:t>Appendix 1</w:t>
      </w:r>
      <w:r w:rsidRPr="00E50E1C">
        <w:rPr>
          <w:rFonts w:ascii="Arial" w:hAnsi="Arial" w:cs="Arial"/>
          <w:sz w:val="24"/>
          <w:szCs w:val="24"/>
        </w:rPr>
        <w:t xml:space="preserve"> will apply.</w:t>
      </w:r>
    </w:p>
    <w:p w:rsidR="00690F08" w:rsidRPr="00E50E1C" w:rsidRDefault="00690F08" w:rsidP="00690F08">
      <w:pPr>
        <w:pStyle w:val="BodyText"/>
        <w:spacing w:after="0"/>
        <w:ind w:left="720" w:hanging="720"/>
        <w:jc w:val="both"/>
        <w:rPr>
          <w:rFonts w:ascii="Arial" w:hAnsi="Arial" w:cs="Arial"/>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The results of tendering exercises for service contracts or agreements will be reported to the next meeting of the Management Committee for approval prior to contracts awarded.</w:t>
      </w:r>
    </w:p>
    <w:p w:rsidR="00690F08" w:rsidRPr="00E50E1C" w:rsidRDefault="00690F08" w:rsidP="00781005">
      <w:pPr>
        <w:pStyle w:val="Heading1"/>
        <w:numPr>
          <w:ilvl w:val="0"/>
          <w:numId w:val="9"/>
        </w:numPr>
        <w:rPr>
          <w:rFonts w:ascii="Arial" w:hAnsi="Arial" w:cs="Arial"/>
          <w:sz w:val="24"/>
          <w:szCs w:val="24"/>
        </w:rPr>
      </w:pPr>
      <w:bookmarkStart w:id="11" w:name="_Toc511308728"/>
      <w:r w:rsidRPr="00E50E1C">
        <w:rPr>
          <w:rFonts w:ascii="Arial" w:hAnsi="Arial" w:cs="Arial"/>
          <w:sz w:val="24"/>
          <w:szCs w:val="24"/>
        </w:rPr>
        <w:t>Specialist Suppliers or contractors</w:t>
      </w:r>
      <w:bookmarkEnd w:id="11"/>
    </w:p>
    <w:p w:rsidR="00690F08" w:rsidRPr="00E50E1C" w:rsidRDefault="00690F08" w:rsidP="00690F08">
      <w:pPr>
        <w:pStyle w:val="BodyText"/>
        <w:widowControl/>
        <w:spacing w:after="0"/>
        <w:ind w:left="720"/>
        <w:jc w:val="both"/>
        <w:rPr>
          <w:rFonts w:ascii="Arial" w:hAnsi="Arial" w:cs="Arial"/>
          <w:b/>
          <w:bCs/>
          <w:i/>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Where there is only one specialist supplier or contractor for a particular item or service, we will seek to negotiate the most advantageous price and terms prior to placing an order or signing an agreement. Details of the discussions held and the reasons for the final recommendation will be fully recorded and reported to Committee for approval should financial limits dictate that Committee approval is required.</w:t>
      </w:r>
    </w:p>
    <w:p w:rsidR="00690F08" w:rsidRPr="00E50E1C" w:rsidRDefault="00690F08" w:rsidP="00781005">
      <w:pPr>
        <w:pStyle w:val="Heading1"/>
        <w:numPr>
          <w:ilvl w:val="0"/>
          <w:numId w:val="9"/>
        </w:numPr>
        <w:rPr>
          <w:rFonts w:ascii="Arial" w:hAnsi="Arial" w:cs="Arial"/>
          <w:sz w:val="24"/>
          <w:szCs w:val="24"/>
        </w:rPr>
      </w:pPr>
      <w:bookmarkStart w:id="12" w:name="_Toc511308729"/>
      <w:r w:rsidRPr="00E50E1C">
        <w:rPr>
          <w:rFonts w:ascii="Arial" w:hAnsi="Arial" w:cs="Arial"/>
          <w:sz w:val="24"/>
          <w:szCs w:val="24"/>
        </w:rPr>
        <w:t>Other methods of procurement</w:t>
      </w:r>
      <w:bookmarkEnd w:id="12"/>
    </w:p>
    <w:p w:rsidR="00690F08" w:rsidRPr="00E50E1C" w:rsidRDefault="00690F08" w:rsidP="00690F08">
      <w:pPr>
        <w:pStyle w:val="BodyText"/>
        <w:spacing w:after="0"/>
        <w:jc w:val="both"/>
        <w:rPr>
          <w:rFonts w:ascii="Arial" w:hAnsi="Arial" w:cs="Arial"/>
          <w:b/>
          <w:bCs/>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ab/>
        <w:t xml:space="preserve">We will continually review our methods of procurement in order to achieve best value for money, meet our duty of sustainable procurement and to comply with current statutory regulations, Scottish Housing Regulator guidance and ‘good practice’. </w:t>
      </w:r>
    </w:p>
    <w:p w:rsidR="00690F08" w:rsidRDefault="00690F08" w:rsidP="00690F08">
      <w:pPr>
        <w:spacing w:after="0" w:line="240" w:lineRule="auto"/>
        <w:ind w:left="709"/>
        <w:jc w:val="both"/>
        <w:rPr>
          <w:rFonts w:ascii="Arial" w:hAnsi="Arial" w:cs="Arial"/>
          <w:sz w:val="24"/>
          <w:szCs w:val="24"/>
        </w:rPr>
      </w:pPr>
    </w:p>
    <w:p w:rsidR="00FE6121" w:rsidRDefault="00FE6121" w:rsidP="00690F08">
      <w:pPr>
        <w:spacing w:after="0" w:line="240" w:lineRule="auto"/>
        <w:ind w:left="709"/>
        <w:jc w:val="both"/>
        <w:rPr>
          <w:rFonts w:ascii="Arial" w:hAnsi="Arial" w:cs="Arial"/>
          <w:sz w:val="24"/>
          <w:szCs w:val="24"/>
        </w:rPr>
      </w:pPr>
    </w:p>
    <w:p w:rsidR="00FE6121" w:rsidRPr="00E50E1C" w:rsidRDefault="00FE6121"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lastRenderedPageBreak/>
        <w:t xml:space="preserve"> We will seek to develop mutually beneficial customer/supplier relationships, particularly with those local contractors and suppliers with which we wish to develop medium to long-term arrangements for the benefit of Govan Housing Association.</w:t>
      </w:r>
    </w:p>
    <w:p w:rsidR="00690F08" w:rsidRPr="00E50E1C" w:rsidRDefault="00690F08" w:rsidP="00781005">
      <w:pPr>
        <w:pStyle w:val="Heading1"/>
        <w:numPr>
          <w:ilvl w:val="0"/>
          <w:numId w:val="9"/>
        </w:numPr>
        <w:rPr>
          <w:rFonts w:ascii="Arial" w:hAnsi="Arial" w:cs="Arial"/>
          <w:sz w:val="24"/>
          <w:szCs w:val="24"/>
        </w:rPr>
      </w:pPr>
      <w:bookmarkStart w:id="13" w:name="_Toc511308730"/>
      <w:r w:rsidRPr="00E50E1C">
        <w:rPr>
          <w:rFonts w:ascii="Arial" w:hAnsi="Arial" w:cs="Arial"/>
          <w:sz w:val="24"/>
          <w:szCs w:val="24"/>
        </w:rPr>
        <w:t>Community Benefits</w:t>
      </w:r>
      <w:bookmarkEnd w:id="13"/>
    </w:p>
    <w:p w:rsidR="00690F08" w:rsidRPr="00E50E1C" w:rsidRDefault="00690F08" w:rsidP="00690F08">
      <w:pPr>
        <w:pStyle w:val="BodyText"/>
        <w:spacing w:after="0"/>
        <w:ind w:left="720"/>
        <w:jc w:val="both"/>
        <w:rPr>
          <w:rFonts w:ascii="Arial" w:hAnsi="Arial" w:cs="Arial"/>
          <w:b/>
          <w:bCs/>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Association will include consideration of contractual clauses relating to community benefits as appropriate to ensure our community can benefit through training and work opportunities as a result of the expenditure that we undertake.</w:t>
      </w:r>
    </w:p>
    <w:p w:rsidR="00690F08" w:rsidRPr="00E50E1C" w:rsidRDefault="00690F08" w:rsidP="00781005">
      <w:pPr>
        <w:pStyle w:val="Heading1"/>
        <w:numPr>
          <w:ilvl w:val="0"/>
          <w:numId w:val="9"/>
        </w:numPr>
        <w:rPr>
          <w:rFonts w:ascii="Arial" w:hAnsi="Arial" w:cs="Arial"/>
          <w:sz w:val="24"/>
          <w:szCs w:val="24"/>
        </w:rPr>
      </w:pPr>
      <w:bookmarkStart w:id="14" w:name="_Toc511308731"/>
      <w:r w:rsidRPr="00E50E1C">
        <w:rPr>
          <w:rFonts w:ascii="Arial" w:hAnsi="Arial" w:cs="Arial"/>
          <w:sz w:val="24"/>
          <w:szCs w:val="24"/>
        </w:rPr>
        <w:t>Payment of contractors</w:t>
      </w:r>
      <w:bookmarkEnd w:id="14"/>
    </w:p>
    <w:p w:rsidR="00690F08" w:rsidRPr="00E50E1C" w:rsidRDefault="00690F08" w:rsidP="00690F08">
      <w:pPr>
        <w:pStyle w:val="ListParagraph"/>
        <w:spacing w:after="0" w:line="240" w:lineRule="auto"/>
        <w:rPr>
          <w:rFonts w:ascii="Arial" w:hAnsi="Arial" w:cs="Arial"/>
          <w:b/>
          <w:bCs/>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The Association will ensure not only timely payment to contractors but will also make it a contractual requirement that main contractors who sub-contract any elements of their work also provide evidence of timely payment to their sub-contractors. </w:t>
      </w:r>
    </w:p>
    <w:p w:rsidR="00690F08" w:rsidRPr="00E50E1C" w:rsidRDefault="00690F08" w:rsidP="00781005">
      <w:pPr>
        <w:pStyle w:val="Heading1"/>
        <w:numPr>
          <w:ilvl w:val="0"/>
          <w:numId w:val="9"/>
        </w:numPr>
        <w:rPr>
          <w:rFonts w:ascii="Arial" w:hAnsi="Arial" w:cs="Arial"/>
          <w:sz w:val="24"/>
          <w:szCs w:val="24"/>
        </w:rPr>
      </w:pPr>
      <w:bookmarkStart w:id="15" w:name="_Toc511308732"/>
      <w:r w:rsidRPr="00E50E1C">
        <w:rPr>
          <w:rFonts w:ascii="Arial" w:hAnsi="Arial" w:cs="Arial"/>
          <w:sz w:val="24"/>
          <w:szCs w:val="24"/>
        </w:rPr>
        <w:t>Repeat and Extended Contracts</w:t>
      </w:r>
      <w:bookmarkEnd w:id="15"/>
    </w:p>
    <w:p w:rsidR="00690F08" w:rsidRPr="00E50E1C" w:rsidRDefault="00690F08" w:rsidP="00690F08">
      <w:pPr>
        <w:pStyle w:val="BodyText"/>
        <w:spacing w:after="0"/>
        <w:ind w:left="720"/>
        <w:jc w:val="both"/>
        <w:rPr>
          <w:rFonts w:ascii="Arial" w:hAnsi="Arial" w:cs="Arial"/>
          <w:bCs/>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Govan HA is conscious of the time and cost that is involved in the procurement process, both from the Association’s point of view and that of prospective tenderers. As a result, it seeks where feasible and within the boundaries of current procurement legislation and good practice, to develop a partnership approach with contractors and consultants. In this respect, successful completion of specific pieces of work may lead to the offer of further negotiated packages of work in the coming years. </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possibility, and maximum duration, of any such extension should be indicated in the original procurement process.</w:t>
      </w:r>
    </w:p>
    <w:p w:rsidR="00690F08" w:rsidRPr="00E50E1C" w:rsidRDefault="00690F08" w:rsidP="00690F08">
      <w:pPr>
        <w:pStyle w:val="ListParagraph"/>
        <w:spacing w:after="0" w:line="240" w:lineRule="auto"/>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In general, contract extensions should only be proposed where the cost lift is at or below inflation.</w:t>
      </w:r>
    </w:p>
    <w:p w:rsidR="00690F08" w:rsidRPr="00E50E1C" w:rsidRDefault="00690F08" w:rsidP="00781005">
      <w:pPr>
        <w:pStyle w:val="Heading1"/>
        <w:numPr>
          <w:ilvl w:val="0"/>
          <w:numId w:val="9"/>
        </w:numPr>
        <w:rPr>
          <w:rFonts w:ascii="Arial" w:hAnsi="Arial" w:cs="Arial"/>
          <w:sz w:val="24"/>
          <w:szCs w:val="24"/>
        </w:rPr>
      </w:pPr>
      <w:bookmarkStart w:id="16" w:name="_Toc511308733"/>
      <w:r w:rsidRPr="00E50E1C">
        <w:rPr>
          <w:rFonts w:ascii="Arial" w:hAnsi="Arial" w:cs="Arial"/>
          <w:sz w:val="24"/>
          <w:szCs w:val="24"/>
        </w:rPr>
        <w:t>Procurement Strategy</w:t>
      </w:r>
      <w:bookmarkEnd w:id="16"/>
    </w:p>
    <w:p w:rsidR="00690F08" w:rsidRPr="00E50E1C" w:rsidRDefault="00690F08" w:rsidP="00690F08">
      <w:pPr>
        <w:pStyle w:val="BodyText"/>
        <w:widowControl/>
        <w:spacing w:after="0"/>
        <w:ind w:left="720"/>
        <w:jc w:val="both"/>
        <w:rPr>
          <w:rFonts w:ascii="Arial" w:hAnsi="Arial" w:cs="Arial"/>
          <w:b/>
          <w:bCs/>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Association is required by law to produce a Procurement Strategy where, for the following year, it anticipates regulated procurements to amount to at least £5million.</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Each year, the Association will assess its planned procurements for the coming year to establish if a Procurement Strategy is required, in line with legislative guidelines.</w:t>
      </w:r>
    </w:p>
    <w:p w:rsidR="00690F08" w:rsidRDefault="00690F08" w:rsidP="00690F08">
      <w:pPr>
        <w:spacing w:after="0" w:line="240" w:lineRule="auto"/>
        <w:ind w:left="709"/>
        <w:jc w:val="both"/>
        <w:rPr>
          <w:rFonts w:ascii="Arial" w:hAnsi="Arial" w:cs="Arial"/>
          <w:sz w:val="24"/>
          <w:szCs w:val="24"/>
        </w:rPr>
      </w:pPr>
    </w:p>
    <w:p w:rsidR="00FE6121" w:rsidRPr="00E50E1C" w:rsidRDefault="00FE6121"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lastRenderedPageBreak/>
        <w:t>Where it is anticipated that there will be a statutory requirement for a Procurement Strategy, it will be developed in a timely manner, in line with good practice guidelines and presented to the Management Committee for approval.</w:t>
      </w:r>
    </w:p>
    <w:p w:rsidR="00690F08" w:rsidRPr="00E50E1C" w:rsidRDefault="00690F08" w:rsidP="00690F08">
      <w:pPr>
        <w:pStyle w:val="ListParagraph"/>
        <w:spacing w:after="0" w:line="240" w:lineRule="auto"/>
        <w:rPr>
          <w:rFonts w:ascii="Arial" w:hAnsi="Arial" w:cs="Arial"/>
          <w:sz w:val="24"/>
          <w:szCs w:val="24"/>
        </w:rPr>
      </w:pPr>
    </w:p>
    <w:p w:rsidR="00690F08" w:rsidRPr="00E50E1C" w:rsidRDefault="00FC73F2"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Regardless of whether a Procurement Strategy is requ</w:t>
      </w:r>
      <w:r w:rsidR="00985E53">
        <w:rPr>
          <w:rFonts w:ascii="Arial" w:hAnsi="Arial" w:cs="Arial"/>
          <w:sz w:val="24"/>
          <w:szCs w:val="24"/>
        </w:rPr>
        <w:t>i</w:t>
      </w:r>
      <w:r w:rsidRPr="00E50E1C">
        <w:rPr>
          <w:rFonts w:ascii="Arial" w:hAnsi="Arial" w:cs="Arial"/>
          <w:sz w:val="24"/>
          <w:szCs w:val="24"/>
        </w:rPr>
        <w:t>red or not, the Association will work</w:t>
      </w:r>
      <w:r w:rsidR="00690F08" w:rsidRPr="00E50E1C">
        <w:rPr>
          <w:rFonts w:ascii="Arial" w:hAnsi="Arial" w:cs="Arial"/>
          <w:sz w:val="24"/>
          <w:szCs w:val="24"/>
        </w:rPr>
        <w:t xml:space="preserve"> ‘strategically’ when approaching procure</w:t>
      </w:r>
      <w:r w:rsidR="00781005" w:rsidRPr="00E50E1C">
        <w:rPr>
          <w:rFonts w:ascii="Arial" w:hAnsi="Arial" w:cs="Arial"/>
          <w:sz w:val="24"/>
          <w:szCs w:val="24"/>
        </w:rPr>
        <w:t xml:space="preserve">ment to monitor levels </w:t>
      </w:r>
      <w:r w:rsidR="00690F08" w:rsidRPr="00E50E1C">
        <w:rPr>
          <w:rFonts w:ascii="Arial" w:hAnsi="Arial" w:cs="Arial"/>
          <w:sz w:val="24"/>
          <w:szCs w:val="24"/>
        </w:rPr>
        <w:t>based on the following:</w:t>
      </w:r>
    </w:p>
    <w:p w:rsidR="00690F08" w:rsidRPr="00E50E1C" w:rsidRDefault="00690F08" w:rsidP="00690F08">
      <w:pPr>
        <w:pStyle w:val="BodyText"/>
        <w:widowControl/>
        <w:spacing w:after="0"/>
        <w:jc w:val="both"/>
        <w:rPr>
          <w:rFonts w:ascii="Arial" w:hAnsi="Arial" w:cs="Arial"/>
          <w:bCs/>
          <w:szCs w:val="24"/>
        </w:rPr>
      </w:pPr>
    </w:p>
    <w:p w:rsidR="00690F08" w:rsidRPr="00E50E1C" w:rsidRDefault="00690F08" w:rsidP="00690F08">
      <w:pPr>
        <w:pStyle w:val="BodyText"/>
        <w:widowControl/>
        <w:numPr>
          <w:ilvl w:val="0"/>
          <w:numId w:val="5"/>
        </w:numPr>
        <w:spacing w:after="0"/>
        <w:jc w:val="both"/>
        <w:rPr>
          <w:rFonts w:ascii="Arial" w:hAnsi="Arial" w:cs="Arial"/>
          <w:bCs/>
          <w:szCs w:val="24"/>
        </w:rPr>
      </w:pPr>
      <w:r w:rsidRPr="00E50E1C">
        <w:rPr>
          <w:rFonts w:ascii="Arial" w:hAnsi="Arial" w:cs="Arial"/>
          <w:bCs/>
          <w:szCs w:val="24"/>
        </w:rPr>
        <w:t>Establishing a clear plan of all reasonably anticipated procurements</w:t>
      </w:r>
      <w:r w:rsidR="00781005" w:rsidRPr="00E50E1C">
        <w:rPr>
          <w:rFonts w:ascii="Arial" w:hAnsi="Arial" w:cs="Arial"/>
          <w:bCs/>
          <w:szCs w:val="24"/>
        </w:rPr>
        <w:t>.</w:t>
      </w:r>
      <w:r w:rsidRPr="00E50E1C">
        <w:rPr>
          <w:rFonts w:ascii="Arial" w:hAnsi="Arial" w:cs="Arial"/>
          <w:bCs/>
          <w:szCs w:val="24"/>
        </w:rPr>
        <w:t xml:space="preserve"> </w:t>
      </w:r>
    </w:p>
    <w:p w:rsidR="00690F08" w:rsidRPr="00E50E1C" w:rsidRDefault="00690F08" w:rsidP="00690F08">
      <w:pPr>
        <w:pStyle w:val="BodyText"/>
        <w:widowControl/>
        <w:spacing w:after="0"/>
        <w:ind w:left="1440"/>
        <w:jc w:val="both"/>
        <w:rPr>
          <w:rFonts w:ascii="Arial" w:hAnsi="Arial" w:cs="Arial"/>
          <w:bCs/>
          <w:szCs w:val="24"/>
        </w:rPr>
      </w:pPr>
    </w:p>
    <w:p w:rsidR="00690F08" w:rsidRPr="00E50E1C" w:rsidRDefault="00FE6121" w:rsidP="00690F08">
      <w:pPr>
        <w:pStyle w:val="BodyText"/>
        <w:widowControl/>
        <w:numPr>
          <w:ilvl w:val="0"/>
          <w:numId w:val="5"/>
        </w:numPr>
        <w:spacing w:after="0"/>
        <w:jc w:val="both"/>
        <w:rPr>
          <w:rFonts w:ascii="Arial" w:hAnsi="Arial" w:cs="Arial"/>
          <w:bCs/>
          <w:szCs w:val="24"/>
        </w:rPr>
      </w:pPr>
      <w:r w:rsidRPr="00E50E1C">
        <w:rPr>
          <w:rFonts w:ascii="Arial" w:hAnsi="Arial" w:cs="Arial"/>
          <w:bCs/>
          <w:szCs w:val="24"/>
        </w:rPr>
        <w:t>Reporting regularly</w:t>
      </w:r>
      <w:r w:rsidR="00690F08" w:rsidRPr="00E50E1C">
        <w:rPr>
          <w:rFonts w:ascii="Arial" w:hAnsi="Arial" w:cs="Arial"/>
          <w:bCs/>
          <w:szCs w:val="24"/>
        </w:rPr>
        <w:t xml:space="preserve"> to the Management Committee on progress and budget versus actual cost comparisons</w:t>
      </w:r>
      <w:r w:rsidR="00781005" w:rsidRPr="00E50E1C">
        <w:rPr>
          <w:rFonts w:ascii="Arial" w:hAnsi="Arial" w:cs="Arial"/>
          <w:bCs/>
          <w:szCs w:val="24"/>
        </w:rPr>
        <w:t>.</w:t>
      </w:r>
    </w:p>
    <w:p w:rsidR="00690F08" w:rsidRPr="00E50E1C" w:rsidRDefault="00690F08" w:rsidP="00690F08">
      <w:pPr>
        <w:pStyle w:val="BodyText"/>
        <w:widowControl/>
        <w:spacing w:after="0"/>
        <w:jc w:val="both"/>
        <w:rPr>
          <w:rFonts w:ascii="Arial" w:hAnsi="Arial" w:cs="Arial"/>
          <w:bCs/>
          <w:szCs w:val="24"/>
        </w:rPr>
      </w:pPr>
    </w:p>
    <w:p w:rsidR="00690F08" w:rsidRPr="00E50E1C" w:rsidRDefault="00690F08" w:rsidP="00690F08">
      <w:pPr>
        <w:pStyle w:val="BodyText"/>
        <w:widowControl/>
        <w:numPr>
          <w:ilvl w:val="0"/>
          <w:numId w:val="5"/>
        </w:numPr>
        <w:spacing w:after="0"/>
        <w:jc w:val="both"/>
        <w:rPr>
          <w:rFonts w:ascii="Arial" w:hAnsi="Arial" w:cs="Arial"/>
          <w:bCs/>
          <w:szCs w:val="24"/>
        </w:rPr>
      </w:pPr>
      <w:r w:rsidRPr="00E50E1C">
        <w:rPr>
          <w:rFonts w:ascii="Arial" w:hAnsi="Arial" w:cs="Arial"/>
          <w:bCs/>
          <w:szCs w:val="24"/>
        </w:rPr>
        <w:t>Take cognisance for each procurement of sustainable development issues relating to each procurement, an evaluation of the market capability and competitive environment, assessment of relevant risks factors and due consideration for appropriate contractual arrangements and pricing strategy.</w:t>
      </w:r>
    </w:p>
    <w:p w:rsidR="00690F08" w:rsidRPr="00E50E1C" w:rsidRDefault="00690F08" w:rsidP="00690F08">
      <w:pPr>
        <w:pStyle w:val="BodyText"/>
        <w:widowControl/>
        <w:spacing w:after="0"/>
        <w:jc w:val="both"/>
        <w:rPr>
          <w:rFonts w:ascii="Arial" w:hAnsi="Arial" w:cs="Arial"/>
          <w:bCs/>
          <w:szCs w:val="24"/>
        </w:rPr>
      </w:pPr>
    </w:p>
    <w:p w:rsidR="00690F08" w:rsidRPr="00E50E1C" w:rsidRDefault="00690F08" w:rsidP="00690F08">
      <w:pPr>
        <w:pStyle w:val="BodyText"/>
        <w:widowControl/>
        <w:numPr>
          <w:ilvl w:val="0"/>
          <w:numId w:val="5"/>
        </w:numPr>
        <w:spacing w:after="0"/>
        <w:jc w:val="both"/>
        <w:rPr>
          <w:rFonts w:ascii="Arial" w:hAnsi="Arial" w:cs="Arial"/>
          <w:bCs/>
          <w:szCs w:val="24"/>
        </w:rPr>
      </w:pPr>
      <w:r w:rsidRPr="00E50E1C">
        <w:rPr>
          <w:rFonts w:ascii="Arial" w:hAnsi="Arial" w:cs="Arial"/>
          <w:bCs/>
          <w:szCs w:val="24"/>
        </w:rPr>
        <w:t>Ensuring that where deviations to the Procurement Policy are requested a clear, justifiable and auditable case is provided.</w:t>
      </w:r>
    </w:p>
    <w:p w:rsidR="00690F08" w:rsidRPr="00E50E1C" w:rsidRDefault="00985E53" w:rsidP="00781005">
      <w:pPr>
        <w:pStyle w:val="Heading1"/>
        <w:numPr>
          <w:ilvl w:val="0"/>
          <w:numId w:val="9"/>
        </w:numPr>
        <w:rPr>
          <w:rFonts w:ascii="Arial" w:hAnsi="Arial" w:cs="Arial"/>
          <w:sz w:val="24"/>
          <w:szCs w:val="24"/>
        </w:rPr>
      </w:pPr>
      <w:bookmarkStart w:id="17" w:name="_Toc511308734"/>
      <w:r>
        <w:rPr>
          <w:rFonts w:ascii="Arial" w:hAnsi="Arial" w:cs="Arial"/>
          <w:sz w:val="24"/>
          <w:szCs w:val="24"/>
        </w:rPr>
        <w:t xml:space="preserve">Reporting, </w:t>
      </w:r>
      <w:r w:rsidR="00690F08" w:rsidRPr="00E50E1C">
        <w:rPr>
          <w:rFonts w:ascii="Arial" w:hAnsi="Arial" w:cs="Arial"/>
          <w:sz w:val="24"/>
          <w:szCs w:val="24"/>
        </w:rPr>
        <w:t>Monitoring</w:t>
      </w:r>
      <w:r w:rsidR="00EC59E6" w:rsidRPr="00E50E1C">
        <w:rPr>
          <w:rFonts w:ascii="Arial" w:hAnsi="Arial" w:cs="Arial"/>
          <w:sz w:val="24"/>
          <w:szCs w:val="24"/>
        </w:rPr>
        <w:t>, Procedures</w:t>
      </w:r>
      <w:r w:rsidR="00690F08" w:rsidRPr="00E50E1C">
        <w:rPr>
          <w:rFonts w:ascii="Arial" w:hAnsi="Arial" w:cs="Arial"/>
          <w:sz w:val="24"/>
          <w:szCs w:val="24"/>
        </w:rPr>
        <w:t xml:space="preserve"> and review</w:t>
      </w:r>
      <w:bookmarkEnd w:id="17"/>
    </w:p>
    <w:p w:rsidR="00690F08" w:rsidRPr="00E50E1C" w:rsidRDefault="00690F08" w:rsidP="00690F08">
      <w:pPr>
        <w:pStyle w:val="BodyText"/>
        <w:spacing w:after="0"/>
        <w:jc w:val="both"/>
        <w:rPr>
          <w:rFonts w:ascii="Arial" w:hAnsi="Arial" w:cs="Arial"/>
          <w:b/>
          <w:bCs/>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Chief Executive is responsible for ensuring that this policy, and the policies and procedures which support it, are followed by all Committee Members and members of staff involved in the procurement process.</w:t>
      </w:r>
    </w:p>
    <w:p w:rsidR="00690F08" w:rsidRPr="00E50E1C" w:rsidRDefault="00690F08" w:rsidP="00690F08">
      <w:pPr>
        <w:spacing w:after="0" w:line="240" w:lineRule="auto"/>
        <w:ind w:left="709"/>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The Chief Executive is responsible for ensuring that staff implements this policy and the relevant procedures, when procuring goods and services.</w:t>
      </w:r>
    </w:p>
    <w:p w:rsidR="00690F08" w:rsidRPr="00E50E1C" w:rsidRDefault="00690F08" w:rsidP="00690F08">
      <w:pPr>
        <w:spacing w:after="0" w:line="240" w:lineRule="auto"/>
        <w:jc w:val="both"/>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On an annual basis, we will review the anticipated value of contracts that will be placed in the coming year to establish if an Annual Procurement Strategy and Procurement Report are required. This will also be an opportunity to establish if there is scope and benefit to developing a framework for suppliers.</w:t>
      </w:r>
    </w:p>
    <w:p w:rsidR="00EC59E6" w:rsidRPr="00E50E1C" w:rsidRDefault="00EC59E6" w:rsidP="00E50E1C">
      <w:pPr>
        <w:spacing w:after="0" w:line="240" w:lineRule="auto"/>
        <w:ind w:left="709"/>
        <w:jc w:val="both"/>
        <w:rPr>
          <w:rFonts w:ascii="Arial" w:hAnsi="Arial" w:cs="Arial"/>
          <w:sz w:val="24"/>
          <w:szCs w:val="24"/>
        </w:rPr>
      </w:pPr>
    </w:p>
    <w:p w:rsidR="00985E53" w:rsidRPr="003E01D5" w:rsidRDefault="00985E53" w:rsidP="003E01D5">
      <w:pPr>
        <w:numPr>
          <w:ilvl w:val="1"/>
          <w:numId w:val="9"/>
        </w:numPr>
        <w:tabs>
          <w:tab w:val="num" w:pos="709"/>
        </w:tabs>
        <w:spacing w:after="0" w:line="240" w:lineRule="auto"/>
        <w:ind w:left="709" w:hanging="709"/>
        <w:jc w:val="both"/>
        <w:rPr>
          <w:rFonts w:ascii="Arial" w:hAnsi="Arial" w:cs="Arial"/>
          <w:sz w:val="24"/>
          <w:szCs w:val="24"/>
        </w:rPr>
      </w:pPr>
      <w:r w:rsidRPr="003E01D5">
        <w:rPr>
          <w:rFonts w:ascii="Arial" w:hAnsi="Arial" w:cs="Arial"/>
          <w:sz w:val="24"/>
          <w:szCs w:val="24"/>
        </w:rPr>
        <w:t xml:space="preserve">We will provide Management Committee with </w:t>
      </w:r>
      <w:r w:rsidR="00EA30BF">
        <w:rPr>
          <w:rFonts w:ascii="Arial" w:hAnsi="Arial" w:cs="Arial"/>
          <w:sz w:val="24"/>
          <w:szCs w:val="24"/>
        </w:rPr>
        <w:t>an q</w:t>
      </w:r>
      <w:r w:rsidRPr="003E01D5">
        <w:rPr>
          <w:rFonts w:ascii="Arial" w:hAnsi="Arial" w:cs="Arial"/>
          <w:sz w:val="24"/>
          <w:szCs w:val="24"/>
        </w:rPr>
        <w:t>u</w:t>
      </w:r>
      <w:r w:rsidR="00EA30BF">
        <w:rPr>
          <w:rFonts w:ascii="Arial" w:hAnsi="Arial" w:cs="Arial"/>
          <w:sz w:val="24"/>
          <w:szCs w:val="24"/>
        </w:rPr>
        <w:t>a</w:t>
      </w:r>
      <w:r w:rsidRPr="003E01D5">
        <w:rPr>
          <w:rFonts w:ascii="Arial" w:hAnsi="Arial" w:cs="Arial"/>
          <w:sz w:val="24"/>
          <w:szCs w:val="24"/>
        </w:rPr>
        <w:t>rterly progress report and also an annual procurement report that will include:</w:t>
      </w:r>
    </w:p>
    <w:p w:rsidR="00985E53" w:rsidRDefault="00985E53" w:rsidP="00690F08">
      <w:pPr>
        <w:pStyle w:val="ListParagraph"/>
        <w:spacing w:after="0" w:line="240" w:lineRule="auto"/>
        <w:rPr>
          <w:rFonts w:ascii="Arial" w:hAnsi="Arial" w:cs="Arial"/>
          <w:sz w:val="24"/>
          <w:szCs w:val="24"/>
        </w:rPr>
      </w:pPr>
    </w:p>
    <w:p w:rsidR="00985E53" w:rsidRPr="00985E53" w:rsidRDefault="00985E53" w:rsidP="003E01D5">
      <w:pPr>
        <w:pStyle w:val="ListParagraph"/>
        <w:numPr>
          <w:ilvl w:val="0"/>
          <w:numId w:val="12"/>
        </w:numPr>
        <w:spacing w:after="0" w:line="240" w:lineRule="auto"/>
        <w:rPr>
          <w:rFonts w:ascii="Arial" w:hAnsi="Arial" w:cs="Arial"/>
          <w:sz w:val="24"/>
          <w:szCs w:val="24"/>
        </w:rPr>
      </w:pPr>
      <w:r w:rsidRPr="00985E53">
        <w:rPr>
          <w:rFonts w:ascii="Arial" w:hAnsi="Arial" w:cs="Arial"/>
          <w:sz w:val="24"/>
          <w:szCs w:val="24"/>
        </w:rPr>
        <w:t xml:space="preserve">A summary of the regulated procurements that have been </w:t>
      </w:r>
      <w:r w:rsidR="00FE6121" w:rsidRPr="00985E53">
        <w:rPr>
          <w:rFonts w:ascii="Arial" w:hAnsi="Arial" w:cs="Arial"/>
          <w:sz w:val="24"/>
          <w:szCs w:val="24"/>
        </w:rPr>
        <w:t>completed</w:t>
      </w:r>
      <w:r w:rsidRPr="00985E53">
        <w:rPr>
          <w:rFonts w:ascii="Arial" w:hAnsi="Arial" w:cs="Arial"/>
          <w:sz w:val="24"/>
          <w:szCs w:val="24"/>
        </w:rPr>
        <w:t xml:space="preserve"> during the year covered by legislation.</w:t>
      </w:r>
    </w:p>
    <w:p w:rsidR="00985E53" w:rsidRPr="00985E53" w:rsidRDefault="00985E53" w:rsidP="00E50E1C">
      <w:pPr>
        <w:pStyle w:val="ListParagraph"/>
        <w:spacing w:after="0" w:line="240" w:lineRule="auto"/>
        <w:rPr>
          <w:rFonts w:ascii="Arial" w:hAnsi="Arial" w:cs="Arial"/>
          <w:sz w:val="24"/>
          <w:szCs w:val="24"/>
        </w:rPr>
      </w:pPr>
    </w:p>
    <w:p w:rsidR="00985E53" w:rsidRPr="00985E53" w:rsidRDefault="00985E53" w:rsidP="003E01D5">
      <w:pPr>
        <w:pStyle w:val="ListParagraph"/>
        <w:numPr>
          <w:ilvl w:val="0"/>
          <w:numId w:val="12"/>
        </w:numPr>
        <w:spacing w:after="0" w:line="240" w:lineRule="auto"/>
        <w:rPr>
          <w:rFonts w:ascii="Arial" w:hAnsi="Arial" w:cs="Arial"/>
          <w:sz w:val="24"/>
          <w:szCs w:val="24"/>
        </w:rPr>
      </w:pPr>
      <w:r w:rsidRPr="00985E53">
        <w:rPr>
          <w:rFonts w:ascii="Arial" w:hAnsi="Arial" w:cs="Arial"/>
          <w:sz w:val="24"/>
          <w:szCs w:val="24"/>
        </w:rPr>
        <w:t xml:space="preserve">A review of how these </w:t>
      </w:r>
      <w:r w:rsidR="00FE6121" w:rsidRPr="00985E53">
        <w:rPr>
          <w:rFonts w:ascii="Arial" w:hAnsi="Arial" w:cs="Arial"/>
          <w:sz w:val="24"/>
          <w:szCs w:val="24"/>
        </w:rPr>
        <w:t>contacts complied</w:t>
      </w:r>
      <w:r w:rsidRPr="00985E53">
        <w:rPr>
          <w:rFonts w:ascii="Arial" w:hAnsi="Arial" w:cs="Arial"/>
          <w:sz w:val="24"/>
          <w:szCs w:val="24"/>
        </w:rPr>
        <w:t xml:space="preserve"> with our procurement strategy.</w:t>
      </w:r>
    </w:p>
    <w:p w:rsidR="00985E53" w:rsidRPr="00985E53" w:rsidRDefault="00985E53" w:rsidP="00E50E1C">
      <w:pPr>
        <w:pStyle w:val="ListParagraph"/>
        <w:spacing w:after="0" w:line="240" w:lineRule="auto"/>
        <w:rPr>
          <w:rFonts w:ascii="Arial" w:hAnsi="Arial" w:cs="Arial"/>
          <w:sz w:val="24"/>
          <w:szCs w:val="24"/>
        </w:rPr>
      </w:pPr>
    </w:p>
    <w:p w:rsidR="00985E53" w:rsidRPr="00985E53" w:rsidRDefault="00985E53" w:rsidP="003E01D5">
      <w:pPr>
        <w:pStyle w:val="ListParagraph"/>
        <w:numPr>
          <w:ilvl w:val="0"/>
          <w:numId w:val="12"/>
        </w:numPr>
        <w:spacing w:after="0" w:line="240" w:lineRule="auto"/>
        <w:rPr>
          <w:rFonts w:ascii="Arial" w:hAnsi="Arial" w:cs="Arial"/>
          <w:sz w:val="24"/>
          <w:szCs w:val="24"/>
        </w:rPr>
      </w:pPr>
      <w:r w:rsidRPr="00985E53">
        <w:rPr>
          <w:rFonts w:ascii="Arial" w:hAnsi="Arial" w:cs="Arial"/>
          <w:sz w:val="24"/>
          <w:szCs w:val="24"/>
        </w:rPr>
        <w:t xml:space="preserve">The extent that any regulated procurements did not comply with a </w:t>
      </w:r>
      <w:r w:rsidR="00FE6121" w:rsidRPr="00985E53">
        <w:rPr>
          <w:rFonts w:ascii="Arial" w:hAnsi="Arial" w:cs="Arial"/>
          <w:sz w:val="24"/>
          <w:szCs w:val="24"/>
        </w:rPr>
        <w:t>statement -</w:t>
      </w:r>
      <w:r w:rsidRPr="00985E53">
        <w:rPr>
          <w:rFonts w:ascii="Arial" w:hAnsi="Arial" w:cs="Arial"/>
          <w:sz w:val="24"/>
          <w:szCs w:val="24"/>
        </w:rPr>
        <w:t xml:space="preserve"> where </w:t>
      </w:r>
      <w:r w:rsidR="00FE6121" w:rsidRPr="00985E53">
        <w:rPr>
          <w:rFonts w:ascii="Arial" w:hAnsi="Arial" w:cs="Arial"/>
          <w:sz w:val="24"/>
          <w:szCs w:val="24"/>
        </w:rPr>
        <w:t>relevant -</w:t>
      </w:r>
      <w:r w:rsidRPr="00985E53">
        <w:rPr>
          <w:rFonts w:ascii="Arial" w:hAnsi="Arial" w:cs="Arial"/>
          <w:sz w:val="24"/>
          <w:szCs w:val="24"/>
        </w:rPr>
        <w:t xml:space="preserve"> of how we will ensure that future </w:t>
      </w:r>
      <w:r w:rsidR="00FE6121" w:rsidRPr="00985E53">
        <w:rPr>
          <w:rFonts w:ascii="Arial" w:hAnsi="Arial" w:cs="Arial"/>
          <w:sz w:val="24"/>
          <w:szCs w:val="24"/>
        </w:rPr>
        <w:t>regulated</w:t>
      </w:r>
      <w:r w:rsidRPr="00985E53">
        <w:rPr>
          <w:rFonts w:ascii="Arial" w:hAnsi="Arial" w:cs="Arial"/>
          <w:sz w:val="24"/>
          <w:szCs w:val="24"/>
        </w:rPr>
        <w:t xml:space="preserve"> procurements do comply.</w:t>
      </w:r>
    </w:p>
    <w:p w:rsidR="00985E53" w:rsidRPr="00985E53" w:rsidRDefault="00985E53" w:rsidP="00E50E1C">
      <w:pPr>
        <w:pStyle w:val="ListParagraph"/>
        <w:spacing w:after="0" w:line="240" w:lineRule="auto"/>
        <w:rPr>
          <w:rFonts w:ascii="Arial" w:hAnsi="Arial" w:cs="Arial"/>
          <w:sz w:val="24"/>
          <w:szCs w:val="24"/>
        </w:rPr>
      </w:pPr>
    </w:p>
    <w:p w:rsidR="00985E53" w:rsidRDefault="00985E53" w:rsidP="003E01D5">
      <w:pPr>
        <w:pStyle w:val="ListParagraph"/>
        <w:numPr>
          <w:ilvl w:val="0"/>
          <w:numId w:val="12"/>
        </w:numPr>
        <w:spacing w:after="0" w:line="240" w:lineRule="auto"/>
        <w:rPr>
          <w:rFonts w:ascii="Arial" w:hAnsi="Arial" w:cs="Arial"/>
          <w:sz w:val="24"/>
          <w:szCs w:val="24"/>
        </w:rPr>
      </w:pPr>
      <w:r w:rsidRPr="00985E53">
        <w:rPr>
          <w:rFonts w:ascii="Arial" w:hAnsi="Arial" w:cs="Arial"/>
          <w:sz w:val="24"/>
          <w:szCs w:val="24"/>
        </w:rPr>
        <w:t xml:space="preserve">A summary of any community benefits imposed as part of any regulated procurement contracts </w:t>
      </w:r>
      <w:r w:rsidR="00FE6121" w:rsidRPr="00985E53">
        <w:rPr>
          <w:rFonts w:ascii="Arial" w:hAnsi="Arial" w:cs="Arial"/>
          <w:sz w:val="24"/>
          <w:szCs w:val="24"/>
        </w:rPr>
        <w:t>fulfilled</w:t>
      </w:r>
      <w:r w:rsidRPr="00985E53">
        <w:rPr>
          <w:rFonts w:ascii="Arial" w:hAnsi="Arial" w:cs="Arial"/>
          <w:sz w:val="24"/>
          <w:szCs w:val="24"/>
        </w:rPr>
        <w:t xml:space="preserve"> during the year</w:t>
      </w:r>
      <w:r>
        <w:rPr>
          <w:rFonts w:ascii="Arial" w:hAnsi="Arial" w:cs="Arial"/>
          <w:sz w:val="24"/>
          <w:szCs w:val="24"/>
        </w:rPr>
        <w:t>.</w:t>
      </w:r>
    </w:p>
    <w:p w:rsidR="00985E53" w:rsidRDefault="00985E53" w:rsidP="00E50E1C">
      <w:pPr>
        <w:pStyle w:val="ListParagraph"/>
        <w:spacing w:after="0" w:line="240" w:lineRule="auto"/>
        <w:rPr>
          <w:rFonts w:ascii="Arial" w:hAnsi="Arial" w:cs="Arial"/>
          <w:sz w:val="24"/>
          <w:szCs w:val="24"/>
        </w:rPr>
      </w:pPr>
    </w:p>
    <w:p w:rsidR="00985E53" w:rsidRDefault="00985E53" w:rsidP="003E01D5">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A summary of any steps taken to facilitate the involvement of </w:t>
      </w:r>
      <w:r w:rsidR="00FE6121">
        <w:rPr>
          <w:rFonts w:ascii="Arial" w:hAnsi="Arial" w:cs="Arial"/>
          <w:sz w:val="24"/>
          <w:szCs w:val="24"/>
        </w:rPr>
        <w:t>supported</w:t>
      </w:r>
      <w:r>
        <w:rPr>
          <w:rFonts w:ascii="Arial" w:hAnsi="Arial" w:cs="Arial"/>
          <w:sz w:val="24"/>
          <w:szCs w:val="24"/>
        </w:rPr>
        <w:t xml:space="preserve"> </w:t>
      </w:r>
      <w:r w:rsidR="00FE6121">
        <w:rPr>
          <w:rFonts w:ascii="Arial" w:hAnsi="Arial" w:cs="Arial"/>
          <w:sz w:val="24"/>
          <w:szCs w:val="24"/>
        </w:rPr>
        <w:t>businesses</w:t>
      </w:r>
      <w:r>
        <w:rPr>
          <w:rFonts w:ascii="Arial" w:hAnsi="Arial" w:cs="Arial"/>
          <w:sz w:val="24"/>
          <w:szCs w:val="24"/>
        </w:rPr>
        <w:t xml:space="preserve"> in regulated procurements during the year.</w:t>
      </w:r>
    </w:p>
    <w:p w:rsidR="00985E53" w:rsidRDefault="00985E53" w:rsidP="00E50E1C">
      <w:pPr>
        <w:pStyle w:val="ListParagraph"/>
        <w:spacing w:after="0" w:line="240" w:lineRule="auto"/>
        <w:rPr>
          <w:rFonts w:ascii="Arial" w:hAnsi="Arial" w:cs="Arial"/>
          <w:sz w:val="24"/>
          <w:szCs w:val="24"/>
        </w:rPr>
      </w:pPr>
    </w:p>
    <w:p w:rsidR="00985E53" w:rsidRDefault="00985E53" w:rsidP="003E01D5">
      <w:pPr>
        <w:pStyle w:val="ListParagraph"/>
        <w:numPr>
          <w:ilvl w:val="0"/>
          <w:numId w:val="12"/>
        </w:numPr>
        <w:spacing w:after="0" w:line="240" w:lineRule="auto"/>
        <w:rPr>
          <w:rFonts w:ascii="Arial" w:hAnsi="Arial" w:cs="Arial"/>
          <w:sz w:val="24"/>
          <w:szCs w:val="24"/>
        </w:rPr>
      </w:pPr>
      <w:r>
        <w:rPr>
          <w:rFonts w:ascii="Arial" w:hAnsi="Arial" w:cs="Arial"/>
          <w:sz w:val="24"/>
          <w:szCs w:val="24"/>
        </w:rPr>
        <w:t>A summary of the regulated procurements we expect to commence in the next 2 financial years.</w:t>
      </w:r>
    </w:p>
    <w:p w:rsidR="00985E53" w:rsidRDefault="00985E53" w:rsidP="00E50E1C">
      <w:pPr>
        <w:pStyle w:val="ListParagraph"/>
        <w:spacing w:after="0" w:line="240" w:lineRule="auto"/>
        <w:rPr>
          <w:rFonts w:ascii="Arial" w:hAnsi="Arial" w:cs="Arial"/>
          <w:sz w:val="24"/>
          <w:szCs w:val="24"/>
        </w:rPr>
      </w:pPr>
    </w:p>
    <w:p w:rsidR="00EA30BF" w:rsidRDefault="00EA30BF" w:rsidP="00EA30BF">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This policy is supported by a ‘</w:t>
      </w:r>
      <w:r w:rsidR="00FE6121" w:rsidRPr="00E50E1C">
        <w:rPr>
          <w:rFonts w:ascii="Arial" w:hAnsi="Arial" w:cs="Arial"/>
          <w:sz w:val="24"/>
          <w:szCs w:val="24"/>
        </w:rPr>
        <w:t>Receipts</w:t>
      </w:r>
      <w:r w:rsidRPr="00E50E1C">
        <w:rPr>
          <w:rFonts w:ascii="Arial" w:hAnsi="Arial" w:cs="Arial"/>
          <w:sz w:val="24"/>
          <w:szCs w:val="24"/>
        </w:rPr>
        <w:t xml:space="preserve"> of Tenders/Quotations &amp; Opening Tenders Procedure’ as approved by the E</w:t>
      </w:r>
      <w:r>
        <w:rPr>
          <w:rFonts w:ascii="Arial" w:hAnsi="Arial" w:cs="Arial"/>
          <w:sz w:val="24"/>
          <w:szCs w:val="24"/>
        </w:rPr>
        <w:t xml:space="preserve">xecutive </w:t>
      </w:r>
      <w:r w:rsidRPr="00E50E1C">
        <w:rPr>
          <w:rFonts w:ascii="Arial" w:hAnsi="Arial" w:cs="Arial"/>
          <w:sz w:val="24"/>
          <w:szCs w:val="24"/>
        </w:rPr>
        <w:t>M</w:t>
      </w:r>
      <w:r>
        <w:rPr>
          <w:rFonts w:ascii="Arial" w:hAnsi="Arial" w:cs="Arial"/>
          <w:sz w:val="24"/>
          <w:szCs w:val="24"/>
        </w:rPr>
        <w:t xml:space="preserve">anagement </w:t>
      </w:r>
      <w:r w:rsidRPr="00E50E1C">
        <w:rPr>
          <w:rFonts w:ascii="Arial" w:hAnsi="Arial" w:cs="Arial"/>
          <w:sz w:val="24"/>
          <w:szCs w:val="24"/>
        </w:rPr>
        <w:t>T</w:t>
      </w:r>
      <w:r>
        <w:rPr>
          <w:rFonts w:ascii="Arial" w:hAnsi="Arial" w:cs="Arial"/>
          <w:sz w:val="24"/>
          <w:szCs w:val="24"/>
        </w:rPr>
        <w:t>eam</w:t>
      </w:r>
      <w:r w:rsidRPr="00E50E1C">
        <w:rPr>
          <w:rFonts w:ascii="Arial" w:hAnsi="Arial" w:cs="Arial"/>
          <w:sz w:val="24"/>
          <w:szCs w:val="24"/>
        </w:rPr>
        <w:t>.</w:t>
      </w:r>
    </w:p>
    <w:p w:rsidR="00EA30BF" w:rsidRPr="00EA30BF" w:rsidRDefault="00EA30BF" w:rsidP="00EA30BF">
      <w:pPr>
        <w:spacing w:after="0" w:line="240" w:lineRule="auto"/>
        <w:rPr>
          <w:rFonts w:ascii="Arial" w:hAnsi="Arial" w:cs="Arial"/>
          <w:sz w:val="24"/>
          <w:szCs w:val="24"/>
        </w:rPr>
      </w:pPr>
    </w:p>
    <w:p w:rsidR="00690F08" w:rsidRPr="00E50E1C" w:rsidRDefault="00690F08" w:rsidP="00690F08">
      <w:pPr>
        <w:numPr>
          <w:ilvl w:val="1"/>
          <w:numId w:val="9"/>
        </w:numPr>
        <w:tabs>
          <w:tab w:val="num" w:pos="709"/>
        </w:tabs>
        <w:spacing w:after="0" w:line="240" w:lineRule="auto"/>
        <w:ind w:left="709" w:hanging="709"/>
        <w:jc w:val="both"/>
        <w:rPr>
          <w:rFonts w:ascii="Arial" w:hAnsi="Arial" w:cs="Arial"/>
          <w:sz w:val="24"/>
          <w:szCs w:val="24"/>
        </w:rPr>
      </w:pPr>
      <w:r w:rsidRPr="00E50E1C">
        <w:rPr>
          <w:rFonts w:ascii="Arial" w:hAnsi="Arial" w:cs="Arial"/>
          <w:sz w:val="24"/>
          <w:szCs w:val="24"/>
        </w:rPr>
        <w:t xml:space="preserve">This policy will be reviewed thereafter every </w:t>
      </w:r>
      <w:r w:rsidR="00C00DD2" w:rsidRPr="00E50E1C">
        <w:rPr>
          <w:rFonts w:ascii="Arial" w:hAnsi="Arial" w:cs="Arial"/>
          <w:sz w:val="24"/>
          <w:szCs w:val="24"/>
        </w:rPr>
        <w:t>4</w:t>
      </w:r>
      <w:r w:rsidRPr="00E50E1C">
        <w:rPr>
          <w:rFonts w:ascii="Arial" w:hAnsi="Arial" w:cs="Arial"/>
          <w:sz w:val="24"/>
          <w:szCs w:val="24"/>
        </w:rPr>
        <w:t xml:space="preserve"> years. </w:t>
      </w:r>
      <w:r w:rsidRPr="00E50E1C">
        <w:rPr>
          <w:rFonts w:ascii="Arial" w:hAnsi="Arial" w:cs="Arial"/>
          <w:b/>
          <w:sz w:val="24"/>
          <w:szCs w:val="24"/>
        </w:rPr>
        <w:t>Appendix 1</w:t>
      </w:r>
      <w:r w:rsidRPr="00E50E1C">
        <w:rPr>
          <w:rFonts w:ascii="Arial" w:hAnsi="Arial" w:cs="Arial"/>
          <w:sz w:val="24"/>
          <w:szCs w:val="24"/>
        </w:rPr>
        <w:t xml:space="preserve"> will be reviewed annually</w:t>
      </w:r>
      <w:r w:rsidR="00EC59E6">
        <w:rPr>
          <w:rFonts w:ascii="Arial" w:hAnsi="Arial" w:cs="Arial"/>
          <w:sz w:val="24"/>
          <w:szCs w:val="24"/>
        </w:rPr>
        <w:t xml:space="preserve"> – any changes will be presented to the Management Committee for approval</w:t>
      </w:r>
      <w:r w:rsidRPr="00E50E1C">
        <w:rPr>
          <w:rFonts w:ascii="Arial" w:hAnsi="Arial" w:cs="Arial"/>
          <w:sz w:val="24"/>
          <w:szCs w:val="24"/>
        </w:rPr>
        <w:t>.</w:t>
      </w:r>
    </w:p>
    <w:p w:rsidR="00100011" w:rsidRPr="00E50E1C" w:rsidRDefault="00690F08" w:rsidP="00690F08">
      <w:pPr>
        <w:spacing w:after="0" w:line="240" w:lineRule="auto"/>
        <w:rPr>
          <w:rFonts w:ascii="Arial" w:hAnsi="Arial" w:cs="Arial"/>
          <w:sz w:val="24"/>
          <w:szCs w:val="24"/>
        </w:rPr>
      </w:pPr>
      <w:r w:rsidRPr="00E50E1C">
        <w:rPr>
          <w:rFonts w:ascii="Arial" w:hAnsi="Arial" w:cs="Arial"/>
          <w:sz w:val="24"/>
          <w:szCs w:val="24"/>
        </w:rPr>
        <w:br w:type="page"/>
      </w:r>
    </w:p>
    <w:p w:rsidR="00690F08" w:rsidRPr="00241B54" w:rsidRDefault="00690F08" w:rsidP="00241B54">
      <w:pPr>
        <w:pStyle w:val="Heading1"/>
        <w:rPr>
          <w:rFonts w:ascii="Century Gothic" w:hAnsi="Century Gothic" w:cs="Arial"/>
          <w:sz w:val="22"/>
          <w:szCs w:val="22"/>
        </w:rPr>
      </w:pPr>
      <w:bookmarkStart w:id="18" w:name="_Toc511308735"/>
      <w:r w:rsidRPr="00690F08">
        <w:rPr>
          <w:rFonts w:ascii="Century Gothic" w:hAnsi="Century Gothic" w:cs="Arial"/>
          <w:sz w:val="22"/>
          <w:szCs w:val="22"/>
        </w:rPr>
        <w:lastRenderedPageBreak/>
        <w:t>APPENDIX 1</w:t>
      </w:r>
      <w:bookmarkEnd w:id="18"/>
    </w:p>
    <w:p w:rsidR="00690F08" w:rsidRPr="00690F08" w:rsidRDefault="00690F08" w:rsidP="00241B54">
      <w:pPr>
        <w:pStyle w:val="Heading2"/>
        <w:rPr>
          <w:rFonts w:ascii="Century Gothic" w:hAnsi="Century Gothic" w:cs="Arial"/>
          <w:b w:val="0"/>
          <w:sz w:val="22"/>
          <w:szCs w:val="22"/>
        </w:rPr>
      </w:pPr>
      <w:bookmarkStart w:id="19" w:name="_Toc511308736"/>
      <w:r w:rsidRPr="00690F08">
        <w:rPr>
          <w:rFonts w:ascii="Century Gothic" w:hAnsi="Century Gothic" w:cs="Arial"/>
          <w:sz w:val="22"/>
          <w:szCs w:val="22"/>
        </w:rPr>
        <w:t>Procurement Summary</w:t>
      </w:r>
      <w:bookmarkEnd w:id="19"/>
      <w:r w:rsidRPr="00690F08">
        <w:rPr>
          <w:rFonts w:ascii="Century Gothic" w:hAnsi="Century Gothic" w:cs="Arial"/>
          <w:sz w:val="22"/>
          <w:szCs w:val="22"/>
        </w:rPr>
        <w:t xml:space="preserve">  </w:t>
      </w:r>
    </w:p>
    <w:p w:rsidR="00690F08" w:rsidRPr="00690F08" w:rsidRDefault="00690F08" w:rsidP="00690F08">
      <w:pPr>
        <w:spacing w:after="0" w:line="240" w:lineRule="auto"/>
        <w:ind w:left="-709"/>
        <w:jc w:val="both"/>
        <w:rPr>
          <w:rFonts w:ascii="Century Gothic" w:hAnsi="Century Gothic" w:cs="Arial"/>
        </w:rPr>
      </w:pPr>
    </w:p>
    <w:tbl>
      <w:tblPr>
        <w:tblStyle w:val="LightList-Accent5"/>
        <w:tblW w:w="9498" w:type="dxa"/>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Layout w:type="fixed"/>
        <w:tblLook w:val="04A0" w:firstRow="1" w:lastRow="0" w:firstColumn="1" w:lastColumn="0" w:noHBand="0" w:noVBand="1"/>
      </w:tblPr>
      <w:tblGrid>
        <w:gridCol w:w="1701"/>
        <w:gridCol w:w="2552"/>
        <w:gridCol w:w="2551"/>
        <w:gridCol w:w="2694"/>
      </w:tblGrid>
      <w:tr w:rsidR="00690F08" w:rsidRPr="00781005" w:rsidTr="00524C40">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rsidR="00690F08" w:rsidRPr="00781005" w:rsidRDefault="00690F08" w:rsidP="00690F08">
            <w:pPr>
              <w:ind w:left="-108"/>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Value</w:t>
            </w:r>
          </w:p>
          <w:p w:rsidR="00690F08" w:rsidRPr="00781005" w:rsidRDefault="00690F08" w:rsidP="00690F08">
            <w:pPr>
              <w:ind w:left="-108"/>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(exc</w:t>
            </w:r>
            <w:r w:rsidRPr="00781005">
              <w:rPr>
                <w:rFonts w:ascii="Century Gothic" w:hAnsi="Century Gothic" w:cs="Arial"/>
                <w:color w:val="000000"/>
                <w:sz w:val="22"/>
                <w:szCs w:val="22"/>
              </w:rPr>
              <w:t>.</w:t>
            </w:r>
            <w:r w:rsidRPr="00781005">
              <w:rPr>
                <w:rFonts w:ascii="Century Gothic" w:hAnsi="Century Gothic" w:cs="Arial"/>
                <w:bCs w:val="0"/>
                <w:color w:val="000000"/>
                <w:sz w:val="22"/>
                <w:szCs w:val="22"/>
              </w:rPr>
              <w:t xml:space="preserve"> VAT)</w:t>
            </w:r>
          </w:p>
        </w:tc>
        <w:tc>
          <w:tcPr>
            <w:tcW w:w="2552" w:type="dxa"/>
            <w:shd w:val="clear" w:color="auto" w:fill="D9D9D9" w:themeFill="background1" w:themeFillShade="D9"/>
            <w:vAlign w:val="center"/>
          </w:tcPr>
          <w:p w:rsidR="00690F08" w:rsidRPr="00781005" w:rsidRDefault="00690F08" w:rsidP="00690F08">
            <w:pPr>
              <w:jc w:val="center"/>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color w:val="000000"/>
                <w:sz w:val="22"/>
                <w:szCs w:val="22"/>
              </w:rPr>
            </w:pPr>
            <w:r w:rsidRPr="00781005">
              <w:rPr>
                <w:rFonts w:ascii="Century Gothic" w:hAnsi="Century Gothic" w:cs="Arial"/>
                <w:bCs w:val="0"/>
                <w:color w:val="000000"/>
                <w:sz w:val="22"/>
                <w:szCs w:val="22"/>
              </w:rPr>
              <w:t>Primary procurement methods</w:t>
            </w:r>
          </w:p>
        </w:tc>
        <w:tc>
          <w:tcPr>
            <w:tcW w:w="2551" w:type="dxa"/>
            <w:shd w:val="clear" w:color="auto" w:fill="D9D9D9" w:themeFill="background1" w:themeFillShade="D9"/>
            <w:vAlign w:val="center"/>
          </w:tcPr>
          <w:p w:rsidR="00690F08" w:rsidRPr="00781005" w:rsidRDefault="00690F08" w:rsidP="00690F08">
            <w:pPr>
              <w:jc w:val="center"/>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color w:val="000000"/>
                <w:sz w:val="22"/>
                <w:szCs w:val="22"/>
              </w:rPr>
            </w:pPr>
            <w:r w:rsidRPr="00781005">
              <w:rPr>
                <w:rFonts w:ascii="Century Gothic" w:hAnsi="Century Gothic" w:cs="Arial"/>
                <w:bCs w:val="0"/>
                <w:color w:val="000000"/>
                <w:sz w:val="22"/>
                <w:szCs w:val="22"/>
              </w:rPr>
              <w:t>Secondary procurement methods</w:t>
            </w:r>
          </w:p>
        </w:tc>
        <w:tc>
          <w:tcPr>
            <w:tcW w:w="2694" w:type="dxa"/>
            <w:shd w:val="clear" w:color="auto" w:fill="D9D9D9" w:themeFill="background1" w:themeFillShade="D9"/>
            <w:vAlign w:val="center"/>
          </w:tcPr>
          <w:p w:rsidR="00690F08" w:rsidRPr="00781005" w:rsidRDefault="00690F08" w:rsidP="00690F08">
            <w:pPr>
              <w:jc w:val="center"/>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color w:val="000000"/>
                <w:sz w:val="22"/>
                <w:szCs w:val="22"/>
              </w:rPr>
            </w:pPr>
            <w:r w:rsidRPr="00781005">
              <w:rPr>
                <w:rFonts w:ascii="Century Gothic" w:hAnsi="Century Gothic" w:cs="Arial"/>
                <w:bCs w:val="0"/>
                <w:color w:val="000000"/>
                <w:sz w:val="22"/>
                <w:szCs w:val="22"/>
              </w:rPr>
              <w:t>Approval</w:t>
            </w:r>
          </w:p>
        </w:tc>
      </w:tr>
      <w:tr w:rsidR="00690F08" w:rsidRPr="00781005" w:rsidTr="00781005">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&lt; £1,000</w:t>
            </w:r>
          </w:p>
        </w:tc>
        <w:tc>
          <w:tcPr>
            <w:tcW w:w="2552" w:type="dxa"/>
            <w:tcBorders>
              <w:top w:val="none" w:sz="0" w:space="0" w:color="auto"/>
              <w:bottom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Approved suppliers schedule of rates / price lists</w:t>
            </w:r>
          </w:p>
        </w:tc>
        <w:tc>
          <w:tcPr>
            <w:tcW w:w="2551" w:type="dxa"/>
            <w:tcBorders>
              <w:top w:val="none" w:sz="0" w:space="0" w:color="auto"/>
              <w:bottom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Quote  from  approved suppliers</w:t>
            </w:r>
          </w:p>
        </w:tc>
        <w:tc>
          <w:tcPr>
            <w:tcW w:w="2694" w:type="dxa"/>
            <w:tcBorders>
              <w:top w:val="none" w:sz="0" w:space="0" w:color="auto"/>
              <w:bottom w:val="none" w:sz="0" w:space="0" w:color="auto"/>
              <w:right w:val="none" w:sz="0" w:space="0" w:color="auto"/>
            </w:tcBorders>
            <w:vAlign w:val="center"/>
          </w:tcPr>
          <w:p w:rsidR="00690F08" w:rsidRPr="00781005" w:rsidRDefault="00690F08" w:rsidP="00781005">
            <w:pPr>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Budget holder</w:t>
            </w:r>
          </w:p>
        </w:tc>
      </w:tr>
      <w:tr w:rsidR="00690F08" w:rsidRPr="00781005" w:rsidTr="00781005">
        <w:trPr>
          <w:trHeight w:val="967"/>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£1,000-£5,000</w:t>
            </w:r>
          </w:p>
        </w:tc>
        <w:tc>
          <w:tcPr>
            <w:tcW w:w="2552"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Suppliers’ schedule of rates / price lists</w:t>
            </w:r>
          </w:p>
        </w:tc>
        <w:tc>
          <w:tcPr>
            <w:tcW w:w="2551"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Three quotes from  approved suppliers</w:t>
            </w:r>
          </w:p>
        </w:tc>
        <w:tc>
          <w:tcPr>
            <w:tcW w:w="2694" w:type="dxa"/>
            <w:vAlign w:val="center"/>
          </w:tcPr>
          <w:p w:rsidR="00690F08" w:rsidRPr="00781005" w:rsidRDefault="00690F08" w:rsidP="00781005">
            <w:pPr>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Budget holder</w:t>
            </w:r>
            <w:r w:rsidR="00781005" w:rsidRPr="00781005">
              <w:rPr>
                <w:rFonts w:ascii="Century Gothic" w:hAnsi="Century Gothic" w:cs="Arial"/>
                <w:sz w:val="22"/>
                <w:szCs w:val="22"/>
              </w:rPr>
              <w:t xml:space="preserve"> and </w:t>
            </w:r>
            <w:r w:rsidRPr="00781005">
              <w:rPr>
                <w:rFonts w:ascii="Century Gothic" w:hAnsi="Century Gothic" w:cs="Arial"/>
                <w:sz w:val="22"/>
                <w:szCs w:val="22"/>
              </w:rPr>
              <w:t>Senior Management Team</w:t>
            </w:r>
          </w:p>
        </w:tc>
      </w:tr>
      <w:tr w:rsidR="00690F08" w:rsidRPr="00781005" w:rsidTr="00781005">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£5,000-£10,000</w:t>
            </w:r>
          </w:p>
        </w:tc>
        <w:tc>
          <w:tcPr>
            <w:tcW w:w="2552" w:type="dxa"/>
            <w:tcBorders>
              <w:top w:val="none" w:sz="0" w:space="0" w:color="auto"/>
              <w:bottom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Three quotes from   approved suppliers</w:t>
            </w:r>
          </w:p>
        </w:tc>
        <w:tc>
          <w:tcPr>
            <w:tcW w:w="2551" w:type="dxa"/>
            <w:tcBorders>
              <w:top w:val="none" w:sz="0" w:space="0" w:color="auto"/>
              <w:bottom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Public Contracts Scotland (‘Quick Quote’ procedure)</w:t>
            </w:r>
          </w:p>
        </w:tc>
        <w:tc>
          <w:tcPr>
            <w:tcW w:w="2694" w:type="dxa"/>
            <w:tcBorders>
              <w:top w:val="none" w:sz="0" w:space="0" w:color="auto"/>
              <w:bottom w:val="none" w:sz="0" w:space="0" w:color="auto"/>
              <w:right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Executive Management Team</w:t>
            </w:r>
          </w:p>
        </w:tc>
      </w:tr>
      <w:tr w:rsidR="00690F08" w:rsidRPr="00781005" w:rsidTr="00781005">
        <w:trPr>
          <w:trHeight w:val="1195"/>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£10,000-£20,000</w:t>
            </w:r>
          </w:p>
        </w:tc>
        <w:tc>
          <w:tcPr>
            <w:tcW w:w="2552"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Minimum of four quotes from   approved suppliers</w:t>
            </w:r>
          </w:p>
        </w:tc>
        <w:tc>
          <w:tcPr>
            <w:tcW w:w="2551"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Public Contracts Scotland (‘Quick Quote’ procedure)</w:t>
            </w:r>
          </w:p>
        </w:tc>
        <w:tc>
          <w:tcPr>
            <w:tcW w:w="2694"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Chief Executive</w:t>
            </w:r>
          </w:p>
        </w:tc>
      </w:tr>
      <w:tr w:rsidR="00690F08" w:rsidRPr="00781005" w:rsidTr="00781005">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£20,000-£50,000</w:t>
            </w:r>
          </w:p>
        </w:tc>
        <w:tc>
          <w:tcPr>
            <w:tcW w:w="2552" w:type="dxa"/>
            <w:tcBorders>
              <w:top w:val="none" w:sz="0" w:space="0" w:color="auto"/>
              <w:bottom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Tender via Public Contracts Scotland</w:t>
            </w:r>
          </w:p>
        </w:tc>
        <w:tc>
          <w:tcPr>
            <w:tcW w:w="2551" w:type="dxa"/>
            <w:tcBorders>
              <w:top w:val="none" w:sz="0" w:space="0" w:color="auto"/>
              <w:bottom w:val="none" w:sz="0" w:space="0" w:color="auto"/>
            </w:tcBorders>
            <w:vAlign w:val="center"/>
          </w:tcPr>
          <w:p w:rsidR="00690F08" w:rsidRPr="00781005" w:rsidRDefault="00690F08" w:rsidP="00781005">
            <w:pPr>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N/A</w:t>
            </w:r>
          </w:p>
        </w:tc>
        <w:tc>
          <w:tcPr>
            <w:tcW w:w="2694" w:type="dxa"/>
            <w:tcBorders>
              <w:top w:val="none" w:sz="0" w:space="0" w:color="auto"/>
              <w:bottom w:val="none" w:sz="0" w:space="0" w:color="auto"/>
              <w:right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Chief Executive and Management Committee member involvement</w:t>
            </w:r>
          </w:p>
        </w:tc>
      </w:tr>
      <w:tr w:rsidR="00690F08" w:rsidRPr="00781005" w:rsidTr="00781005">
        <w:trPr>
          <w:trHeight w:val="802"/>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£50,000-£181,303</w:t>
            </w:r>
          </w:p>
        </w:tc>
        <w:tc>
          <w:tcPr>
            <w:tcW w:w="2552"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Tender via Public Contracts Scotland</w:t>
            </w:r>
          </w:p>
        </w:tc>
        <w:tc>
          <w:tcPr>
            <w:tcW w:w="2551" w:type="dxa"/>
            <w:vAlign w:val="center"/>
          </w:tcPr>
          <w:p w:rsidR="00690F08" w:rsidRPr="00781005" w:rsidRDefault="00690F08" w:rsidP="00781005">
            <w:pPr>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N/A</w:t>
            </w:r>
          </w:p>
        </w:tc>
        <w:tc>
          <w:tcPr>
            <w:tcW w:w="2694"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Management Committee</w:t>
            </w:r>
          </w:p>
        </w:tc>
      </w:tr>
      <w:tr w:rsidR="00690F08" w:rsidRPr="00781005" w:rsidTr="00781005">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color w:val="000000"/>
                <w:sz w:val="22"/>
                <w:szCs w:val="22"/>
              </w:rPr>
            </w:pPr>
            <w:r w:rsidRPr="00781005">
              <w:rPr>
                <w:rFonts w:ascii="Century Gothic" w:hAnsi="Century Gothic" w:cs="Arial"/>
                <w:bCs w:val="0"/>
                <w:color w:val="000000"/>
                <w:sz w:val="22"/>
                <w:szCs w:val="22"/>
              </w:rPr>
              <w:t>Services and supplies &gt;£181,303</w:t>
            </w:r>
          </w:p>
        </w:tc>
        <w:tc>
          <w:tcPr>
            <w:tcW w:w="2552" w:type="dxa"/>
            <w:tcBorders>
              <w:top w:val="none" w:sz="0" w:space="0" w:color="auto"/>
              <w:bottom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Tender via OJEU</w:t>
            </w:r>
          </w:p>
        </w:tc>
        <w:tc>
          <w:tcPr>
            <w:tcW w:w="2551" w:type="dxa"/>
            <w:tcBorders>
              <w:top w:val="none" w:sz="0" w:space="0" w:color="auto"/>
              <w:bottom w:val="none" w:sz="0" w:space="0" w:color="auto"/>
            </w:tcBorders>
            <w:vAlign w:val="center"/>
          </w:tcPr>
          <w:p w:rsidR="00690F08" w:rsidRPr="00781005" w:rsidRDefault="00690F08" w:rsidP="00781005">
            <w:pPr>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N/A</w:t>
            </w:r>
          </w:p>
        </w:tc>
        <w:tc>
          <w:tcPr>
            <w:tcW w:w="2694" w:type="dxa"/>
            <w:tcBorders>
              <w:top w:val="none" w:sz="0" w:space="0" w:color="auto"/>
              <w:bottom w:val="none" w:sz="0" w:space="0" w:color="auto"/>
              <w:right w:val="none" w:sz="0" w:space="0" w:color="auto"/>
            </w:tcBorders>
            <w:vAlign w:val="center"/>
          </w:tcPr>
          <w:p w:rsidR="00690F08" w:rsidRPr="00781005" w:rsidRDefault="00781005"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Pr>
                <w:rFonts w:ascii="Century Gothic" w:hAnsi="Century Gothic" w:cs="Arial"/>
                <w:sz w:val="22"/>
                <w:szCs w:val="22"/>
              </w:rPr>
              <w:t>Management Committee</w:t>
            </w:r>
          </w:p>
        </w:tc>
      </w:tr>
      <w:tr w:rsidR="00690F08" w:rsidRPr="00781005" w:rsidTr="00781005">
        <w:trPr>
          <w:trHeight w:val="802"/>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Works &gt;£181,303 &lt;£4,551,413</w:t>
            </w:r>
          </w:p>
        </w:tc>
        <w:tc>
          <w:tcPr>
            <w:tcW w:w="2552"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Tender via Public Contracts Scotland</w:t>
            </w:r>
          </w:p>
        </w:tc>
        <w:tc>
          <w:tcPr>
            <w:tcW w:w="2551" w:type="dxa"/>
            <w:vAlign w:val="center"/>
          </w:tcPr>
          <w:p w:rsidR="00690F08" w:rsidRPr="00781005" w:rsidRDefault="00690F08" w:rsidP="00781005">
            <w:pPr>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N/A</w:t>
            </w:r>
          </w:p>
        </w:tc>
        <w:tc>
          <w:tcPr>
            <w:tcW w:w="2694" w:type="dxa"/>
            <w:vAlign w:val="center"/>
          </w:tcPr>
          <w:p w:rsidR="00690F08" w:rsidRPr="00781005" w:rsidRDefault="00690F08" w:rsidP="00781005">
            <w:pPr>
              <w:contextualSpacing/>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Management Committee</w:t>
            </w:r>
          </w:p>
        </w:tc>
      </w:tr>
      <w:tr w:rsidR="00690F08" w:rsidRPr="00781005" w:rsidTr="00781005">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D9D9D9" w:themeFill="background1" w:themeFillShade="D9"/>
            <w:vAlign w:val="center"/>
          </w:tcPr>
          <w:p w:rsidR="00690F08" w:rsidRPr="00781005" w:rsidRDefault="00690F08" w:rsidP="00781005">
            <w:pPr>
              <w:jc w:val="center"/>
              <w:textAlignment w:val="baseline"/>
              <w:rPr>
                <w:rFonts w:ascii="Century Gothic" w:hAnsi="Century Gothic" w:cs="Arial"/>
                <w:bCs w:val="0"/>
                <w:color w:val="000000"/>
                <w:sz w:val="22"/>
                <w:szCs w:val="22"/>
              </w:rPr>
            </w:pPr>
            <w:r w:rsidRPr="00781005">
              <w:rPr>
                <w:rFonts w:ascii="Century Gothic" w:hAnsi="Century Gothic" w:cs="Arial"/>
                <w:bCs w:val="0"/>
                <w:color w:val="000000"/>
                <w:sz w:val="22"/>
                <w:szCs w:val="22"/>
              </w:rPr>
              <w:t>Works &gt;£4,551,413</w:t>
            </w:r>
          </w:p>
        </w:tc>
        <w:tc>
          <w:tcPr>
            <w:tcW w:w="2552" w:type="dxa"/>
            <w:tcBorders>
              <w:top w:val="none" w:sz="0" w:space="0" w:color="auto"/>
              <w:bottom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Tender via OJEU</w:t>
            </w:r>
          </w:p>
        </w:tc>
        <w:tc>
          <w:tcPr>
            <w:tcW w:w="2551" w:type="dxa"/>
            <w:tcBorders>
              <w:top w:val="none" w:sz="0" w:space="0" w:color="auto"/>
              <w:bottom w:val="none" w:sz="0" w:space="0" w:color="auto"/>
            </w:tcBorders>
            <w:vAlign w:val="center"/>
          </w:tcPr>
          <w:p w:rsidR="00690F08" w:rsidRPr="00781005" w:rsidRDefault="00690F08" w:rsidP="00781005">
            <w:pPr>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N/A</w:t>
            </w:r>
          </w:p>
        </w:tc>
        <w:tc>
          <w:tcPr>
            <w:tcW w:w="2694" w:type="dxa"/>
            <w:tcBorders>
              <w:top w:val="none" w:sz="0" w:space="0" w:color="auto"/>
              <w:bottom w:val="none" w:sz="0" w:space="0" w:color="auto"/>
              <w:right w:val="none" w:sz="0" w:space="0" w:color="auto"/>
            </w:tcBorders>
            <w:vAlign w:val="center"/>
          </w:tcPr>
          <w:p w:rsidR="00690F08" w:rsidRPr="00781005" w:rsidRDefault="00690F08" w:rsidP="00781005">
            <w:pPr>
              <w:contextualSpacing/>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cs="Arial"/>
                <w:sz w:val="22"/>
                <w:szCs w:val="22"/>
              </w:rPr>
            </w:pPr>
            <w:r w:rsidRPr="00781005">
              <w:rPr>
                <w:rFonts w:ascii="Century Gothic" w:hAnsi="Century Gothic" w:cs="Arial"/>
                <w:sz w:val="22"/>
                <w:szCs w:val="22"/>
              </w:rPr>
              <w:t>Management Committee</w:t>
            </w:r>
          </w:p>
        </w:tc>
      </w:tr>
    </w:tbl>
    <w:p w:rsidR="00690F08" w:rsidRPr="00690F08" w:rsidRDefault="00690F08" w:rsidP="00690F08">
      <w:pPr>
        <w:spacing w:after="0" w:line="240" w:lineRule="auto"/>
        <w:rPr>
          <w:rFonts w:ascii="Century Gothic" w:hAnsi="Century Gothic" w:cs="Arial"/>
          <w:b/>
        </w:rPr>
      </w:pPr>
    </w:p>
    <w:p w:rsidR="00690F08" w:rsidRPr="00690F08" w:rsidRDefault="00690F08" w:rsidP="00690F08">
      <w:pPr>
        <w:spacing w:after="0" w:line="240" w:lineRule="auto"/>
        <w:rPr>
          <w:rFonts w:ascii="Century Gothic" w:hAnsi="Century Gothic" w:cs="Arial"/>
          <w:b/>
        </w:rPr>
      </w:pPr>
      <w:r w:rsidRPr="00690F08">
        <w:rPr>
          <w:rFonts w:ascii="Century Gothic" w:hAnsi="Century Gothic" w:cs="Arial"/>
          <w:b/>
        </w:rPr>
        <w:t>Notes:</w:t>
      </w:r>
    </w:p>
    <w:p w:rsidR="00690F08" w:rsidRPr="00781005" w:rsidRDefault="00690F08" w:rsidP="00690F08">
      <w:pPr>
        <w:pStyle w:val="ListParagraph"/>
        <w:widowControl w:val="0"/>
        <w:numPr>
          <w:ilvl w:val="0"/>
          <w:numId w:val="8"/>
        </w:numPr>
        <w:tabs>
          <w:tab w:val="left" w:pos="1440"/>
          <w:tab w:val="left" w:pos="2160"/>
          <w:tab w:val="left" w:pos="2880"/>
          <w:tab w:val="left" w:pos="4680"/>
          <w:tab w:val="left" w:pos="5400"/>
          <w:tab w:val="right" w:pos="9000"/>
        </w:tabs>
        <w:spacing w:after="0" w:line="240" w:lineRule="auto"/>
        <w:jc w:val="both"/>
        <w:rPr>
          <w:rFonts w:ascii="Century Gothic" w:hAnsi="Century Gothic" w:cs="Arial"/>
          <w:i/>
          <w:sz w:val="19"/>
          <w:szCs w:val="19"/>
          <w:lang w:val="en-US"/>
        </w:rPr>
      </w:pPr>
      <w:r w:rsidRPr="00781005">
        <w:rPr>
          <w:rFonts w:ascii="Century Gothic" w:hAnsi="Century Gothic" w:cs="Arial"/>
          <w:i/>
          <w:sz w:val="19"/>
          <w:szCs w:val="19"/>
          <w:lang w:val="en-US"/>
        </w:rPr>
        <w:t>The levels for the last four lines of the above table  have be set in line with revised OJEU thresholds, published by the Government  in January 2018.</w:t>
      </w:r>
    </w:p>
    <w:p w:rsidR="00690F08" w:rsidRPr="00781005" w:rsidRDefault="00690F08" w:rsidP="00690F08">
      <w:pPr>
        <w:pStyle w:val="ListParagraph"/>
        <w:widowControl w:val="0"/>
        <w:numPr>
          <w:ilvl w:val="0"/>
          <w:numId w:val="8"/>
        </w:numPr>
        <w:tabs>
          <w:tab w:val="left" w:pos="1440"/>
          <w:tab w:val="left" w:pos="2160"/>
          <w:tab w:val="left" w:pos="2880"/>
          <w:tab w:val="left" w:pos="4680"/>
          <w:tab w:val="left" w:pos="5400"/>
          <w:tab w:val="right" w:pos="9000"/>
        </w:tabs>
        <w:spacing w:after="0" w:line="240" w:lineRule="auto"/>
        <w:jc w:val="both"/>
        <w:rPr>
          <w:rFonts w:ascii="Century Gothic" w:hAnsi="Century Gothic" w:cs="Arial"/>
          <w:i/>
          <w:sz w:val="19"/>
          <w:szCs w:val="19"/>
          <w:lang w:val="en-US"/>
        </w:rPr>
      </w:pPr>
      <w:r w:rsidRPr="00781005">
        <w:rPr>
          <w:rFonts w:ascii="Century Gothic" w:hAnsi="Century Gothic" w:cs="Arial"/>
          <w:i/>
          <w:sz w:val="19"/>
          <w:szCs w:val="19"/>
          <w:lang w:val="en-US"/>
        </w:rPr>
        <w:t>The values for lesser value procurements have been set lower that the legislative requirements to</w:t>
      </w:r>
      <w:r w:rsidR="00781005" w:rsidRPr="00781005">
        <w:rPr>
          <w:rFonts w:ascii="Century Gothic" w:hAnsi="Century Gothic" w:cs="Arial"/>
          <w:i/>
          <w:sz w:val="19"/>
          <w:szCs w:val="19"/>
          <w:lang w:val="en-US"/>
        </w:rPr>
        <w:t xml:space="preserve"> </w:t>
      </w:r>
      <w:r w:rsidRPr="00781005">
        <w:rPr>
          <w:rFonts w:ascii="Century Gothic" w:hAnsi="Century Gothic" w:cs="Arial"/>
          <w:i/>
          <w:sz w:val="19"/>
          <w:szCs w:val="19"/>
          <w:lang w:val="en-US"/>
        </w:rPr>
        <w:t>ensure that there is no breach of the Scottish Legislative thresholds.  So, for example, full PCS tendering level has been set at £20,000 even though Scottish legislation only requires this for &gt;£50k</w:t>
      </w:r>
      <w:r w:rsidR="00781005" w:rsidRPr="00781005">
        <w:rPr>
          <w:rFonts w:ascii="Century Gothic" w:hAnsi="Century Gothic" w:cs="Arial"/>
          <w:i/>
          <w:sz w:val="19"/>
          <w:szCs w:val="19"/>
          <w:lang w:val="en-US"/>
        </w:rPr>
        <w:t>.</w:t>
      </w:r>
    </w:p>
    <w:p w:rsidR="00690F08" w:rsidRPr="00781005" w:rsidRDefault="00690F08" w:rsidP="00690F08">
      <w:pPr>
        <w:pStyle w:val="ListParagraph"/>
        <w:widowControl w:val="0"/>
        <w:numPr>
          <w:ilvl w:val="0"/>
          <w:numId w:val="8"/>
        </w:numPr>
        <w:tabs>
          <w:tab w:val="left" w:pos="1440"/>
          <w:tab w:val="left" w:pos="2160"/>
          <w:tab w:val="left" w:pos="2880"/>
          <w:tab w:val="left" w:pos="4680"/>
          <w:tab w:val="left" w:pos="5400"/>
          <w:tab w:val="right" w:pos="9000"/>
        </w:tabs>
        <w:spacing w:after="0" w:line="240" w:lineRule="auto"/>
        <w:jc w:val="both"/>
        <w:rPr>
          <w:rFonts w:ascii="Century Gothic" w:hAnsi="Century Gothic" w:cs="Arial"/>
          <w:i/>
          <w:sz w:val="19"/>
          <w:szCs w:val="19"/>
          <w:lang w:val="en-US"/>
        </w:rPr>
      </w:pPr>
      <w:r w:rsidRPr="00781005">
        <w:rPr>
          <w:rFonts w:ascii="Century Gothic" w:hAnsi="Century Gothic" w:cs="Arial"/>
          <w:i/>
          <w:sz w:val="19"/>
          <w:szCs w:val="19"/>
          <w:lang w:val="en-US"/>
        </w:rPr>
        <w:t>Staff may consider using a higher level procurement method if it is deemed to be appropriate due to risk level of contract or if, for example, the Association does not have knowledge o</w:t>
      </w:r>
      <w:r w:rsidR="00781005" w:rsidRPr="00781005">
        <w:rPr>
          <w:rFonts w:ascii="Century Gothic" w:hAnsi="Century Gothic" w:cs="Arial"/>
          <w:i/>
          <w:sz w:val="19"/>
          <w:szCs w:val="19"/>
          <w:lang w:val="en-US"/>
        </w:rPr>
        <w:t>f suppliers to invite to quote (</w:t>
      </w:r>
      <w:r w:rsidRPr="00781005">
        <w:rPr>
          <w:rFonts w:ascii="Century Gothic" w:hAnsi="Century Gothic" w:cs="Arial"/>
          <w:i/>
          <w:sz w:val="19"/>
          <w:szCs w:val="19"/>
          <w:lang w:val="en-US"/>
        </w:rPr>
        <w:t xml:space="preserve">e.g. using Full Tendering for a project under £20,000). </w:t>
      </w:r>
    </w:p>
    <w:p w:rsidR="00690F08" w:rsidRPr="00781005" w:rsidRDefault="00690F08" w:rsidP="00690F08">
      <w:pPr>
        <w:pStyle w:val="ListParagraph"/>
        <w:widowControl w:val="0"/>
        <w:numPr>
          <w:ilvl w:val="0"/>
          <w:numId w:val="8"/>
        </w:numPr>
        <w:tabs>
          <w:tab w:val="left" w:pos="1440"/>
          <w:tab w:val="left" w:pos="2160"/>
          <w:tab w:val="left" w:pos="2880"/>
          <w:tab w:val="left" w:pos="4680"/>
          <w:tab w:val="left" w:pos="5400"/>
          <w:tab w:val="right" w:pos="9000"/>
        </w:tabs>
        <w:spacing w:after="0" w:line="240" w:lineRule="auto"/>
        <w:jc w:val="both"/>
        <w:rPr>
          <w:rFonts w:ascii="Century Gothic" w:hAnsi="Century Gothic" w:cs="Arial"/>
          <w:i/>
          <w:sz w:val="19"/>
          <w:szCs w:val="19"/>
          <w:lang w:val="en-US"/>
        </w:rPr>
      </w:pPr>
      <w:r w:rsidRPr="00781005">
        <w:rPr>
          <w:rFonts w:ascii="Century Gothic" w:hAnsi="Century Gothic" w:cs="Arial"/>
          <w:bCs/>
          <w:i/>
          <w:sz w:val="19"/>
          <w:szCs w:val="19"/>
        </w:rPr>
        <w:t xml:space="preserve">In all cases, a ‘call off’ from an appropriate framework to which </w:t>
      </w:r>
      <w:r w:rsidR="00781005" w:rsidRPr="00781005">
        <w:rPr>
          <w:rFonts w:ascii="Century Gothic" w:hAnsi="Century Gothic" w:cs="Arial"/>
          <w:i/>
          <w:sz w:val="19"/>
          <w:szCs w:val="19"/>
          <w:lang w:val="en-US"/>
        </w:rPr>
        <w:t>Govan HA</w:t>
      </w:r>
      <w:r w:rsidRPr="00781005">
        <w:rPr>
          <w:rFonts w:ascii="Century Gothic" w:hAnsi="Century Gothic" w:cs="Arial"/>
          <w:i/>
          <w:sz w:val="19"/>
          <w:szCs w:val="19"/>
          <w:lang w:val="en-US"/>
        </w:rPr>
        <w:t xml:space="preserve"> has access is acceptable.</w:t>
      </w:r>
    </w:p>
    <w:p w:rsidR="00690F08" w:rsidRPr="00781005" w:rsidRDefault="00690F08" w:rsidP="00690F08">
      <w:pPr>
        <w:pStyle w:val="ListParagraph"/>
        <w:widowControl w:val="0"/>
        <w:numPr>
          <w:ilvl w:val="0"/>
          <w:numId w:val="8"/>
        </w:numPr>
        <w:tabs>
          <w:tab w:val="left" w:pos="1440"/>
          <w:tab w:val="left" w:pos="2160"/>
          <w:tab w:val="left" w:pos="2880"/>
          <w:tab w:val="left" w:pos="4680"/>
          <w:tab w:val="left" w:pos="5400"/>
          <w:tab w:val="right" w:pos="9000"/>
        </w:tabs>
        <w:spacing w:after="0" w:line="240" w:lineRule="auto"/>
        <w:jc w:val="both"/>
        <w:rPr>
          <w:rFonts w:ascii="Century Gothic" w:hAnsi="Century Gothic" w:cs="Arial"/>
          <w:b/>
        </w:rPr>
      </w:pPr>
      <w:r w:rsidRPr="00781005">
        <w:rPr>
          <w:rFonts w:ascii="Century Gothic" w:hAnsi="Century Gothic" w:cs="Arial"/>
          <w:bCs/>
          <w:i/>
          <w:sz w:val="19"/>
          <w:szCs w:val="19"/>
        </w:rPr>
        <w:t xml:space="preserve">Budget holders will have scope where the budget holder deems it </w:t>
      </w:r>
      <w:r w:rsidR="00781005" w:rsidRPr="00781005">
        <w:rPr>
          <w:rFonts w:ascii="Century Gothic" w:hAnsi="Century Gothic" w:cs="Arial"/>
          <w:bCs/>
          <w:i/>
          <w:sz w:val="19"/>
          <w:szCs w:val="19"/>
        </w:rPr>
        <w:t>appropriate to</w:t>
      </w:r>
      <w:r w:rsidRPr="00781005">
        <w:rPr>
          <w:rFonts w:ascii="Century Gothic" w:hAnsi="Century Gothic" w:cs="Arial"/>
          <w:bCs/>
          <w:i/>
          <w:sz w:val="19"/>
          <w:szCs w:val="19"/>
        </w:rPr>
        <w:t xml:space="preserve">   </w:t>
      </w:r>
      <w:r w:rsidR="00FE6121" w:rsidRPr="00781005">
        <w:rPr>
          <w:rFonts w:ascii="Century Gothic" w:hAnsi="Century Gothic" w:cs="Arial"/>
          <w:bCs/>
          <w:i/>
          <w:sz w:val="19"/>
          <w:szCs w:val="19"/>
        </w:rPr>
        <w:t>use a</w:t>
      </w:r>
      <w:r w:rsidRPr="00781005">
        <w:rPr>
          <w:rFonts w:ascii="Century Gothic" w:hAnsi="Century Gothic" w:cs="Arial"/>
          <w:bCs/>
          <w:i/>
          <w:sz w:val="19"/>
          <w:szCs w:val="19"/>
        </w:rPr>
        <w:t xml:space="preserve"> price/ quality assessment as part of any Quick Quote procedure.</w:t>
      </w:r>
      <w:r w:rsidRPr="00781005">
        <w:rPr>
          <w:rFonts w:ascii="Century Gothic" w:hAnsi="Century Gothic" w:cs="Arial"/>
          <w:b/>
        </w:rPr>
        <w:br w:type="page"/>
      </w:r>
    </w:p>
    <w:p w:rsidR="00690F08" w:rsidRPr="00690F08" w:rsidRDefault="00690F08" w:rsidP="00241B54">
      <w:pPr>
        <w:pStyle w:val="Heading1"/>
        <w:rPr>
          <w:rFonts w:ascii="Century Gothic" w:hAnsi="Century Gothic" w:cs="Arial"/>
          <w:b w:val="0"/>
          <w:sz w:val="22"/>
          <w:szCs w:val="22"/>
        </w:rPr>
      </w:pPr>
      <w:bookmarkStart w:id="20" w:name="_Toc511308737"/>
      <w:r w:rsidRPr="00690F08">
        <w:rPr>
          <w:rFonts w:ascii="Century Gothic" w:hAnsi="Century Gothic" w:cs="Arial"/>
          <w:sz w:val="22"/>
          <w:szCs w:val="22"/>
        </w:rPr>
        <w:lastRenderedPageBreak/>
        <w:t>EQUALITY IMPACT ASSESSMENT</w:t>
      </w:r>
      <w:bookmarkEnd w:id="20"/>
    </w:p>
    <w:p w:rsidR="00690F08" w:rsidRPr="00690F08" w:rsidRDefault="00690F08" w:rsidP="00690F08">
      <w:pPr>
        <w:spacing w:after="0" w:line="240" w:lineRule="auto"/>
        <w:rPr>
          <w:rFonts w:ascii="Century Gothic" w:hAnsi="Century Gothic" w:cs="Arial"/>
        </w:rPr>
      </w:pPr>
    </w:p>
    <w:p w:rsidR="00690F08" w:rsidRPr="00690F08" w:rsidRDefault="00690F08" w:rsidP="00690F08">
      <w:pPr>
        <w:spacing w:after="0" w:line="240" w:lineRule="auto"/>
        <w:rPr>
          <w:rFonts w:ascii="Century Gothic" w:hAnsi="Century Gothic" w:cs="Arial"/>
          <w:b/>
        </w:rPr>
      </w:pPr>
      <w:r w:rsidRPr="00690F08">
        <w:rPr>
          <w:rFonts w:ascii="Century Gothic" w:hAnsi="Century Gothic" w:cs="Arial"/>
          <w:b/>
        </w:rPr>
        <w:t>Pre – EIA Questionnaire</w:t>
      </w:r>
    </w:p>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This questionnaire is designed to identify if an Equality Impact Assessment is required.</w:t>
      </w:r>
    </w:p>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If the answer is “yes” to any of the question, generally an EIA will be required.</w:t>
      </w:r>
    </w:p>
    <w:p w:rsidR="00690F08" w:rsidRPr="00690F08" w:rsidRDefault="00690F08" w:rsidP="00690F08">
      <w:pPr>
        <w:spacing w:after="0" w:line="240" w:lineRule="auto"/>
        <w:rPr>
          <w:rFonts w:ascii="Century Gothic" w:hAnsi="Century Gothic" w:cs="Arial"/>
        </w:rPr>
      </w:pPr>
    </w:p>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4203"/>
        <w:gridCol w:w="1879"/>
      </w:tblGrid>
      <w:tr w:rsidR="00690F08" w:rsidRPr="00690F08" w:rsidTr="00781005">
        <w:tc>
          <w:tcPr>
            <w:tcW w:w="3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F08" w:rsidRPr="00690F08" w:rsidRDefault="00690F08" w:rsidP="00781005">
            <w:pPr>
              <w:spacing w:after="0" w:line="240" w:lineRule="auto"/>
              <w:rPr>
                <w:rFonts w:ascii="Century Gothic" w:hAnsi="Century Gothic" w:cs="Arial"/>
                <w:b/>
              </w:rPr>
            </w:pPr>
            <w:r w:rsidRPr="00690F08">
              <w:rPr>
                <w:rFonts w:ascii="Century Gothic" w:hAnsi="Century Gothic" w:cs="Arial"/>
                <w:b/>
              </w:rPr>
              <w:t>TITLE OF POLICY:</w:t>
            </w:r>
          </w:p>
        </w:tc>
        <w:tc>
          <w:tcPr>
            <w:tcW w:w="60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0F08" w:rsidRPr="00690F08" w:rsidRDefault="00690F08" w:rsidP="00690F08">
            <w:pPr>
              <w:spacing w:after="0" w:line="240" w:lineRule="auto"/>
              <w:jc w:val="both"/>
              <w:rPr>
                <w:rFonts w:ascii="Century Gothic" w:hAnsi="Century Gothic" w:cs="Arial"/>
                <w:b/>
              </w:rPr>
            </w:pPr>
            <w:r w:rsidRPr="00690F08">
              <w:rPr>
                <w:rFonts w:ascii="Century Gothic" w:hAnsi="Century Gothic" w:cs="Arial"/>
                <w:b/>
              </w:rPr>
              <w:t xml:space="preserve">PROCUREMENT POLICY </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DOES THE POLICY AFFECT SERVICE USERS, EMPLOYEES OR THE WIDER COMMUNITY, AND THEREFORE POTENTIALLY HAVE A SIGNIFICANT EFFECT IN TERMS OF EQUALITY?</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NO</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IS IT A MAJOR POLICY, SIGNIFICANTLY AFFECTING HOW FUNCTIONS ARE DELIVERED IN TERMS OF EQUALITY?</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NO</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DOES IT RELATE TO POLICY AREAS OR ISSUES THAT PREVIOUS CONSULTATION OR INVOLVEMENT ACTIVITIES HAVE IDENTIFIED AS BEING IMPORTANT TO PARTICULAR PROTECTED GROUPS?</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NO</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DOES IT RELATE TO AN AREA OF WHERE THE ASSOCIATION HAS IDENTIFIED A NEED TO IMPROVE EQUALITY OUTCOMES?</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NO</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DOES IT RELATE TO AN AREA WHERE THERE ARE KNOWN INEQUALITIES?</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NO</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DOES IT RELATE TO A POLICY WHERE THERE IS SIGNIFICANT POTENTIAL FOR REDUCING INEQUALITIES OR IMPROVING OUTCOMES?</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NO</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IS FURTHER ACTION REQUIRED?</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NO</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IF SO, WHAT ACTION IS REQUIRED?</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n/a</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IS THE ACTION ACHIEVABLE?</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n/a</w:t>
            </w:r>
          </w:p>
        </w:tc>
      </w:tr>
      <w:tr w:rsidR="00690F08" w:rsidRPr="00690F08" w:rsidTr="00781005">
        <w:tblPrEx>
          <w:tblBorders>
            <w:top w:val="single" w:sz="4" w:space="0" w:color="5967AF" w:themeColor="text2" w:themeTint="99"/>
            <w:left w:val="single" w:sz="4" w:space="0" w:color="5967AF" w:themeColor="text2" w:themeTint="99"/>
            <w:bottom w:val="single" w:sz="4" w:space="0" w:color="5967AF" w:themeColor="text2" w:themeTint="99"/>
            <w:right w:val="single" w:sz="4" w:space="0" w:color="5967AF" w:themeColor="text2" w:themeTint="99"/>
            <w:insideH w:val="single" w:sz="4" w:space="0" w:color="5967AF" w:themeColor="text2" w:themeTint="99"/>
            <w:insideV w:val="single" w:sz="4" w:space="0" w:color="5967AF" w:themeColor="text2" w:themeTint="99"/>
          </w:tblBorders>
        </w:tblPrEx>
        <w:tc>
          <w:tcPr>
            <w:tcW w:w="7363" w:type="dxa"/>
            <w:gridSpan w:val="2"/>
            <w:shd w:val="clear" w:color="auto" w:fill="auto"/>
          </w:tcPr>
          <w:p w:rsidR="00690F08" w:rsidRPr="00690F08" w:rsidRDefault="00690F08" w:rsidP="00690F08">
            <w:pPr>
              <w:spacing w:after="0" w:line="240" w:lineRule="auto"/>
              <w:rPr>
                <w:rFonts w:ascii="Century Gothic" w:hAnsi="Century Gothic" w:cs="Arial"/>
              </w:rPr>
            </w:pPr>
            <w:r w:rsidRPr="00690F08">
              <w:rPr>
                <w:rFonts w:ascii="Century Gothic" w:hAnsi="Century Gothic" w:cs="Arial"/>
              </w:rPr>
              <w:t>TIMESCALE FOR ACTION?</w:t>
            </w:r>
          </w:p>
        </w:tc>
        <w:tc>
          <w:tcPr>
            <w:tcW w:w="1879" w:type="dxa"/>
            <w:shd w:val="clear" w:color="auto" w:fill="auto"/>
            <w:vAlign w:val="center"/>
            <w:hideMark/>
          </w:tcPr>
          <w:p w:rsidR="00690F08" w:rsidRPr="00781005" w:rsidRDefault="00690F08" w:rsidP="00690F08">
            <w:pPr>
              <w:spacing w:after="0" w:line="240" w:lineRule="auto"/>
              <w:ind w:left="720"/>
              <w:rPr>
                <w:rFonts w:ascii="Century Gothic" w:hAnsi="Century Gothic" w:cs="Arial"/>
                <w:b/>
              </w:rPr>
            </w:pPr>
            <w:r w:rsidRPr="00781005">
              <w:rPr>
                <w:rFonts w:ascii="Century Gothic" w:hAnsi="Century Gothic" w:cs="Arial"/>
                <w:b/>
              </w:rPr>
              <w:t>n/a</w:t>
            </w:r>
          </w:p>
        </w:tc>
      </w:tr>
    </w:tbl>
    <w:p w:rsidR="00690F08" w:rsidRPr="00690F08" w:rsidRDefault="00690F08" w:rsidP="00690F08">
      <w:pPr>
        <w:spacing w:after="0" w:line="240" w:lineRule="auto"/>
        <w:rPr>
          <w:rFonts w:ascii="Century Gothic" w:hAnsi="Century Gothic" w:cs="Arial"/>
        </w:rPr>
      </w:pPr>
    </w:p>
    <w:p w:rsidR="00690F08" w:rsidRPr="00E03CAB" w:rsidRDefault="00690F08" w:rsidP="00690F08">
      <w:pPr>
        <w:pStyle w:val="BodyText"/>
        <w:widowControl/>
        <w:spacing w:after="0"/>
        <w:jc w:val="both"/>
        <w:rPr>
          <w:rFonts w:ascii="Arial" w:hAnsi="Arial" w:cs="Arial"/>
          <w:b/>
          <w:bCs/>
          <w:szCs w:val="24"/>
        </w:rPr>
      </w:pPr>
    </w:p>
    <w:p w:rsidR="00690F08" w:rsidRDefault="00690F08" w:rsidP="00690F08"/>
    <w:p w:rsidR="00091C62" w:rsidRPr="00446D2D" w:rsidRDefault="00091C62">
      <w:pPr>
        <w:rPr>
          <w:rFonts w:ascii="Century Gothic" w:hAnsi="Century Gothic"/>
        </w:rPr>
      </w:pPr>
    </w:p>
    <w:sectPr w:rsidR="00091C62" w:rsidRPr="00446D2D" w:rsidSect="00446D2D">
      <w:footerReference w:type="default" r:id="rId10"/>
      <w:head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08" w:rsidRDefault="00690F08" w:rsidP="00690F08">
      <w:pPr>
        <w:spacing w:after="0" w:line="240" w:lineRule="auto"/>
      </w:pPr>
      <w:r>
        <w:separator/>
      </w:r>
    </w:p>
  </w:endnote>
  <w:endnote w:type="continuationSeparator" w:id="0">
    <w:p w:rsidR="00690F08" w:rsidRDefault="00690F08" w:rsidP="0069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95984"/>
      <w:docPartObj>
        <w:docPartGallery w:val="Page Numbers (Bottom of Page)"/>
        <w:docPartUnique/>
      </w:docPartObj>
    </w:sdtPr>
    <w:sdtEndPr>
      <w:rPr>
        <w:noProof/>
      </w:rPr>
    </w:sdtEndPr>
    <w:sdtContent>
      <w:p w:rsidR="00100011" w:rsidRDefault="00100011">
        <w:pPr>
          <w:pStyle w:val="Footer"/>
          <w:jc w:val="center"/>
        </w:pPr>
        <w:r>
          <w:fldChar w:fldCharType="begin"/>
        </w:r>
        <w:r>
          <w:instrText xml:space="preserve"> PAGE   \* MERGEFORMAT </w:instrText>
        </w:r>
        <w:r>
          <w:fldChar w:fldCharType="separate"/>
        </w:r>
        <w:r w:rsidR="001B4C77">
          <w:rPr>
            <w:noProof/>
          </w:rPr>
          <w:t>1</w:t>
        </w:r>
        <w:r>
          <w:rPr>
            <w:noProof/>
          </w:rPr>
          <w:fldChar w:fldCharType="end"/>
        </w:r>
      </w:p>
    </w:sdtContent>
  </w:sdt>
  <w:p w:rsidR="00781005" w:rsidRDefault="00781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08" w:rsidRDefault="00690F08" w:rsidP="00690F08">
      <w:pPr>
        <w:spacing w:after="0" w:line="240" w:lineRule="auto"/>
      </w:pPr>
      <w:r>
        <w:separator/>
      </w:r>
    </w:p>
  </w:footnote>
  <w:footnote w:type="continuationSeparator" w:id="0">
    <w:p w:rsidR="00690F08" w:rsidRDefault="00690F08" w:rsidP="00690F08">
      <w:pPr>
        <w:spacing w:after="0" w:line="240" w:lineRule="auto"/>
      </w:pPr>
      <w:r>
        <w:continuationSeparator/>
      </w:r>
    </w:p>
  </w:footnote>
  <w:footnote w:id="1">
    <w:p w:rsidR="00690F08" w:rsidRPr="00782D84" w:rsidRDefault="00690F08" w:rsidP="00690F08">
      <w:pPr>
        <w:pStyle w:val="FootnoteText"/>
        <w:rPr>
          <w:lang w:val="en-GB"/>
        </w:rPr>
      </w:pPr>
      <w:r>
        <w:rPr>
          <w:rStyle w:val="FootnoteReference"/>
        </w:rPr>
        <w:footnoteRef/>
      </w:r>
      <w:r>
        <w:t xml:space="preserve"> </w:t>
      </w:r>
      <w:r w:rsidRPr="00782D84">
        <w:rPr>
          <w:i/>
          <w:sz w:val="16"/>
          <w:szCs w:val="16"/>
          <w:lang w:val="en-GB"/>
        </w:rPr>
        <w:t>Govan HA is deemed to be a ‘public contacting authority’ and is therefore bound by the requirements of this legislation</w:t>
      </w:r>
    </w:p>
  </w:footnote>
  <w:footnote w:id="2">
    <w:p w:rsidR="00690F08" w:rsidRPr="00A6014B" w:rsidRDefault="00690F08" w:rsidP="00690F08">
      <w:pPr>
        <w:rPr>
          <w:rFonts w:cs="Arial"/>
          <w:i/>
          <w:color w:val="222222"/>
          <w:sz w:val="16"/>
          <w:szCs w:val="16"/>
          <w:lang w:eastAsia="en-GB"/>
        </w:rPr>
      </w:pPr>
      <w:r w:rsidRPr="00A6014B">
        <w:rPr>
          <w:rStyle w:val="FootnoteReference"/>
          <w:i/>
          <w:sz w:val="16"/>
          <w:szCs w:val="16"/>
        </w:rPr>
        <w:footnoteRef/>
      </w:r>
      <w:r w:rsidRPr="00A6014B">
        <w:rPr>
          <w:i/>
          <w:sz w:val="16"/>
          <w:szCs w:val="16"/>
        </w:rPr>
        <w:t xml:space="preserve"> </w:t>
      </w:r>
      <w:r w:rsidRPr="00A6014B">
        <w:rPr>
          <w:rFonts w:cs="Arial"/>
          <w:i/>
          <w:color w:val="222222"/>
          <w:sz w:val="16"/>
          <w:szCs w:val="16"/>
          <w:lang w:eastAsia="en-GB"/>
        </w:rPr>
        <w:t xml:space="preserve">the process of transferring items from one </w:t>
      </w:r>
      <w:r>
        <w:rPr>
          <w:rFonts w:cs="Arial"/>
          <w:i/>
          <w:color w:val="222222"/>
          <w:sz w:val="16"/>
          <w:szCs w:val="16"/>
          <w:lang w:eastAsia="en-GB"/>
        </w:rPr>
        <w:t>budget</w:t>
      </w:r>
      <w:r w:rsidRPr="00A6014B">
        <w:rPr>
          <w:rFonts w:cs="Arial"/>
          <w:i/>
          <w:color w:val="222222"/>
          <w:sz w:val="16"/>
          <w:szCs w:val="16"/>
          <w:lang w:eastAsia="en-GB"/>
        </w:rPr>
        <w:t xml:space="preserve"> to another.</w:t>
      </w:r>
    </w:p>
    <w:p w:rsidR="00690F08" w:rsidRPr="00A6014B" w:rsidRDefault="00690F08" w:rsidP="00690F08">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11" w:rsidRPr="00100011" w:rsidRDefault="00100011" w:rsidP="00100011">
    <w:pPr>
      <w:pStyle w:val="Header"/>
      <w:jc w:val="right"/>
      <w:rPr>
        <w:rFonts w:ascii="Arial" w:hAnsi="Arial" w:cs="Arial"/>
        <w:b/>
        <w:color w:val="595959" w:themeColor="text1" w:themeTint="A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18BE"/>
    <w:multiLevelType w:val="hybridMultilevel"/>
    <w:tmpl w:val="CD3898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B810B1"/>
    <w:multiLevelType w:val="hybridMultilevel"/>
    <w:tmpl w:val="136C6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375FAD"/>
    <w:multiLevelType w:val="hybridMultilevel"/>
    <w:tmpl w:val="58A8A53A"/>
    <w:lvl w:ilvl="0" w:tplc="A85E8E30">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AB74AA"/>
    <w:multiLevelType w:val="hybridMultilevel"/>
    <w:tmpl w:val="EB245310"/>
    <w:lvl w:ilvl="0" w:tplc="A85E8E3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237470"/>
    <w:multiLevelType w:val="hybridMultilevel"/>
    <w:tmpl w:val="90684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F54EB3"/>
    <w:multiLevelType w:val="multilevel"/>
    <w:tmpl w:val="93F6E9E2"/>
    <w:lvl w:ilvl="0">
      <w:start w:val="1"/>
      <w:numFmt w:val="decimal"/>
      <w:lvlText w:val="%1.0"/>
      <w:lvlJc w:val="left"/>
      <w:pPr>
        <w:tabs>
          <w:tab w:val="num" w:pos="720"/>
        </w:tabs>
        <w:ind w:left="720" w:hanging="720"/>
      </w:pPr>
      <w:rPr>
        <w:rFonts w:hint="default"/>
        <w:b/>
      </w:rPr>
    </w:lvl>
    <w:lvl w:ilvl="1">
      <w:numFmt w:val="decimal"/>
      <w:lvlText w:val="%1.%2"/>
      <w:lvlJc w:val="left"/>
      <w:pPr>
        <w:tabs>
          <w:tab w:val="num" w:pos="1571"/>
        </w:tabs>
        <w:ind w:left="1571"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9BB2643"/>
    <w:multiLevelType w:val="hybridMultilevel"/>
    <w:tmpl w:val="48B6D4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DE4241F"/>
    <w:multiLevelType w:val="hybridMultilevel"/>
    <w:tmpl w:val="EDCE8380"/>
    <w:lvl w:ilvl="0" w:tplc="A85E8E30">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B5046A"/>
    <w:multiLevelType w:val="hybridMultilevel"/>
    <w:tmpl w:val="E6C832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4DA327F"/>
    <w:multiLevelType w:val="multilevel"/>
    <w:tmpl w:val="C20869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0">
    <w:nsid w:val="46700860"/>
    <w:multiLevelType w:val="multilevel"/>
    <w:tmpl w:val="202CB6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571"/>
        </w:tabs>
        <w:ind w:left="1571"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50F4862"/>
    <w:multiLevelType w:val="hybridMultilevel"/>
    <w:tmpl w:val="A9DA9A28"/>
    <w:lvl w:ilvl="0" w:tplc="56BE2296">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4"/>
  </w:num>
  <w:num w:numId="4">
    <w:abstractNumId w:val="1"/>
  </w:num>
  <w:num w:numId="5">
    <w:abstractNumId w:val="6"/>
  </w:num>
  <w:num w:numId="6">
    <w:abstractNumId w:val="2"/>
  </w:num>
  <w:num w:numId="7">
    <w:abstractNumId w:val="7"/>
  </w:num>
  <w:num w:numId="8">
    <w:abstractNumId w:val="11"/>
  </w:num>
  <w:num w:numId="9">
    <w:abstractNumId w:val="9"/>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2D"/>
    <w:rsid w:val="00091C62"/>
    <w:rsid w:val="00100011"/>
    <w:rsid w:val="0013727D"/>
    <w:rsid w:val="001B4C77"/>
    <w:rsid w:val="00241B54"/>
    <w:rsid w:val="003C260B"/>
    <w:rsid w:val="003E01D5"/>
    <w:rsid w:val="00446D2D"/>
    <w:rsid w:val="00690F08"/>
    <w:rsid w:val="007465FF"/>
    <w:rsid w:val="00763831"/>
    <w:rsid w:val="00781005"/>
    <w:rsid w:val="00985E53"/>
    <w:rsid w:val="00A3577F"/>
    <w:rsid w:val="00AB48CD"/>
    <w:rsid w:val="00B118AF"/>
    <w:rsid w:val="00C00DD2"/>
    <w:rsid w:val="00E50E1C"/>
    <w:rsid w:val="00EA30BF"/>
    <w:rsid w:val="00EC59E6"/>
    <w:rsid w:val="00FC73F2"/>
    <w:rsid w:val="00FD4B2B"/>
    <w:rsid w:val="00FE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F08"/>
    <w:pPr>
      <w:keepNext/>
      <w:keepLines/>
      <w:spacing w:before="480" w:after="0"/>
      <w:outlineLvl w:val="0"/>
    </w:pPr>
    <w:rPr>
      <w:rFonts w:asciiTheme="majorHAnsi" w:eastAsiaTheme="majorEastAsia" w:hAnsiTheme="majorHAnsi" w:cstheme="majorBidi"/>
      <w:b/>
      <w:bCs/>
      <w:color w:val="001747" w:themeColor="accent1" w:themeShade="BF"/>
      <w:sz w:val="28"/>
      <w:szCs w:val="28"/>
    </w:rPr>
  </w:style>
  <w:style w:type="paragraph" w:styleId="Heading2">
    <w:name w:val="heading 2"/>
    <w:basedOn w:val="Normal"/>
    <w:next w:val="Normal"/>
    <w:link w:val="Heading2Char"/>
    <w:uiPriority w:val="9"/>
    <w:semiHidden/>
    <w:unhideWhenUsed/>
    <w:qFormat/>
    <w:rsid w:val="00241B54"/>
    <w:pPr>
      <w:keepNext/>
      <w:keepLines/>
      <w:spacing w:before="200" w:after="0"/>
      <w:outlineLvl w:val="1"/>
    </w:pPr>
    <w:rPr>
      <w:rFonts w:asciiTheme="majorHAnsi" w:eastAsiaTheme="majorEastAsia" w:hAnsiTheme="majorHAnsi" w:cstheme="majorBidi"/>
      <w:b/>
      <w:bCs/>
      <w:color w:val="00206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46D2D"/>
    <w:rPr>
      <w:rFonts w:eastAsiaTheme="minorEastAsia"/>
      <w:lang w:val="en-US" w:eastAsia="ja-JP"/>
    </w:rPr>
  </w:style>
  <w:style w:type="paragraph" w:styleId="BalloonText">
    <w:name w:val="Balloon Text"/>
    <w:basedOn w:val="Normal"/>
    <w:link w:val="BalloonTextChar"/>
    <w:uiPriority w:val="99"/>
    <w:semiHidden/>
    <w:unhideWhenUsed/>
    <w:rsid w:val="00446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2D"/>
    <w:rPr>
      <w:rFonts w:ascii="Tahoma" w:hAnsi="Tahoma" w:cs="Tahoma"/>
      <w:sz w:val="16"/>
      <w:szCs w:val="16"/>
    </w:rPr>
  </w:style>
  <w:style w:type="table" w:styleId="TableGrid">
    <w:name w:val="Table Grid"/>
    <w:basedOn w:val="TableNormal"/>
    <w:uiPriority w:val="59"/>
    <w:rsid w:val="0044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D2D"/>
    <w:pPr>
      <w:ind w:left="720"/>
      <w:contextualSpacing/>
    </w:pPr>
  </w:style>
  <w:style w:type="character" w:customStyle="1" w:styleId="Heading1Char">
    <w:name w:val="Heading 1 Char"/>
    <w:basedOn w:val="DefaultParagraphFont"/>
    <w:link w:val="Heading1"/>
    <w:uiPriority w:val="9"/>
    <w:rsid w:val="00690F08"/>
    <w:rPr>
      <w:rFonts w:asciiTheme="majorHAnsi" w:eastAsiaTheme="majorEastAsia" w:hAnsiTheme="majorHAnsi" w:cstheme="majorBidi"/>
      <w:b/>
      <w:bCs/>
      <w:color w:val="001747" w:themeColor="accent1" w:themeShade="BF"/>
      <w:sz w:val="28"/>
      <w:szCs w:val="28"/>
    </w:rPr>
  </w:style>
  <w:style w:type="paragraph" w:styleId="TOCHeading">
    <w:name w:val="TOC Heading"/>
    <w:basedOn w:val="Heading1"/>
    <w:next w:val="Normal"/>
    <w:uiPriority w:val="39"/>
    <w:semiHidden/>
    <w:unhideWhenUsed/>
    <w:qFormat/>
    <w:rsid w:val="00690F08"/>
    <w:pPr>
      <w:outlineLvl w:val="9"/>
    </w:pPr>
    <w:rPr>
      <w:lang w:val="en-US" w:eastAsia="ja-JP"/>
    </w:rPr>
  </w:style>
  <w:style w:type="paragraph" w:styleId="BodyText">
    <w:name w:val="Body Text"/>
    <w:basedOn w:val="Normal"/>
    <w:link w:val="BodyTextChar"/>
    <w:rsid w:val="00690F08"/>
    <w:pPr>
      <w:widowControl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0F08"/>
    <w:rPr>
      <w:rFonts w:ascii="Times New Roman" w:eastAsia="Times New Roman" w:hAnsi="Times New Roman" w:cs="Times New Roman"/>
      <w:sz w:val="24"/>
      <w:szCs w:val="20"/>
    </w:rPr>
  </w:style>
  <w:style w:type="character" w:styleId="FootnoteReference">
    <w:name w:val="footnote reference"/>
    <w:basedOn w:val="DefaultParagraphFont"/>
    <w:rsid w:val="00690F08"/>
    <w:rPr>
      <w:vertAlign w:val="superscript"/>
    </w:rPr>
  </w:style>
  <w:style w:type="paragraph" w:customStyle="1" w:styleId="Default">
    <w:name w:val="Default"/>
    <w:rsid w:val="00690F0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rsid w:val="00690F08"/>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690F08"/>
    <w:rPr>
      <w:rFonts w:ascii="Arial" w:eastAsia="Times New Roman" w:hAnsi="Arial" w:cs="Times New Roman"/>
      <w:sz w:val="20"/>
      <w:szCs w:val="20"/>
      <w:lang w:val="en-US"/>
    </w:rPr>
  </w:style>
  <w:style w:type="table" w:styleId="LightList-Accent5">
    <w:name w:val="Light List Accent 5"/>
    <w:basedOn w:val="TableNormal"/>
    <w:uiPriority w:val="61"/>
    <w:rsid w:val="00690F08"/>
    <w:pPr>
      <w:spacing w:after="0" w:line="240" w:lineRule="auto"/>
    </w:pPr>
    <w:rPr>
      <w:rFonts w:ascii="Arial Narrow" w:eastAsia="Times New Roman" w:hAnsi="Arial Narrow" w:cs="Times New Roman"/>
      <w:sz w:val="24"/>
      <w:szCs w:val="24"/>
      <w:lang w:eastAsia="en-GB"/>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TOC1">
    <w:name w:val="toc 1"/>
    <w:basedOn w:val="Normal"/>
    <w:next w:val="Normal"/>
    <w:autoRedefine/>
    <w:uiPriority w:val="39"/>
    <w:unhideWhenUsed/>
    <w:rsid w:val="00781005"/>
    <w:pPr>
      <w:spacing w:after="100"/>
    </w:pPr>
  </w:style>
  <w:style w:type="character" w:styleId="Hyperlink">
    <w:name w:val="Hyperlink"/>
    <w:basedOn w:val="DefaultParagraphFont"/>
    <w:uiPriority w:val="99"/>
    <w:unhideWhenUsed/>
    <w:rsid w:val="00781005"/>
    <w:rPr>
      <w:color w:val="56C7AA" w:themeColor="hyperlink"/>
      <w:u w:val="single"/>
    </w:rPr>
  </w:style>
  <w:style w:type="paragraph" w:styleId="Header">
    <w:name w:val="header"/>
    <w:basedOn w:val="Normal"/>
    <w:link w:val="HeaderChar"/>
    <w:uiPriority w:val="99"/>
    <w:unhideWhenUsed/>
    <w:rsid w:val="00781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005"/>
  </w:style>
  <w:style w:type="paragraph" w:styleId="Footer">
    <w:name w:val="footer"/>
    <w:basedOn w:val="Normal"/>
    <w:link w:val="FooterChar"/>
    <w:uiPriority w:val="99"/>
    <w:unhideWhenUsed/>
    <w:rsid w:val="0078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005"/>
  </w:style>
  <w:style w:type="character" w:customStyle="1" w:styleId="Heading2Char">
    <w:name w:val="Heading 2 Char"/>
    <w:basedOn w:val="DefaultParagraphFont"/>
    <w:link w:val="Heading2"/>
    <w:uiPriority w:val="9"/>
    <w:semiHidden/>
    <w:rsid w:val="00241B54"/>
    <w:rPr>
      <w:rFonts w:asciiTheme="majorHAnsi" w:eastAsiaTheme="majorEastAsia" w:hAnsiTheme="majorHAnsi" w:cstheme="majorBidi"/>
      <w:b/>
      <w:bCs/>
      <w:color w:val="002060" w:themeColor="accent1"/>
      <w:sz w:val="26"/>
      <w:szCs w:val="26"/>
    </w:rPr>
  </w:style>
  <w:style w:type="paragraph" w:styleId="TOC2">
    <w:name w:val="toc 2"/>
    <w:basedOn w:val="Normal"/>
    <w:next w:val="Normal"/>
    <w:autoRedefine/>
    <w:uiPriority w:val="39"/>
    <w:unhideWhenUsed/>
    <w:rsid w:val="00241B5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F08"/>
    <w:pPr>
      <w:keepNext/>
      <w:keepLines/>
      <w:spacing w:before="480" w:after="0"/>
      <w:outlineLvl w:val="0"/>
    </w:pPr>
    <w:rPr>
      <w:rFonts w:asciiTheme="majorHAnsi" w:eastAsiaTheme="majorEastAsia" w:hAnsiTheme="majorHAnsi" w:cstheme="majorBidi"/>
      <w:b/>
      <w:bCs/>
      <w:color w:val="001747" w:themeColor="accent1" w:themeShade="BF"/>
      <w:sz w:val="28"/>
      <w:szCs w:val="28"/>
    </w:rPr>
  </w:style>
  <w:style w:type="paragraph" w:styleId="Heading2">
    <w:name w:val="heading 2"/>
    <w:basedOn w:val="Normal"/>
    <w:next w:val="Normal"/>
    <w:link w:val="Heading2Char"/>
    <w:uiPriority w:val="9"/>
    <w:semiHidden/>
    <w:unhideWhenUsed/>
    <w:qFormat/>
    <w:rsid w:val="00241B54"/>
    <w:pPr>
      <w:keepNext/>
      <w:keepLines/>
      <w:spacing w:before="200" w:after="0"/>
      <w:outlineLvl w:val="1"/>
    </w:pPr>
    <w:rPr>
      <w:rFonts w:asciiTheme="majorHAnsi" w:eastAsiaTheme="majorEastAsia" w:hAnsiTheme="majorHAnsi" w:cstheme="majorBidi"/>
      <w:b/>
      <w:bCs/>
      <w:color w:val="00206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46D2D"/>
    <w:rPr>
      <w:rFonts w:eastAsiaTheme="minorEastAsia"/>
      <w:lang w:val="en-US" w:eastAsia="ja-JP"/>
    </w:rPr>
  </w:style>
  <w:style w:type="paragraph" w:styleId="BalloonText">
    <w:name w:val="Balloon Text"/>
    <w:basedOn w:val="Normal"/>
    <w:link w:val="BalloonTextChar"/>
    <w:uiPriority w:val="99"/>
    <w:semiHidden/>
    <w:unhideWhenUsed/>
    <w:rsid w:val="00446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2D"/>
    <w:rPr>
      <w:rFonts w:ascii="Tahoma" w:hAnsi="Tahoma" w:cs="Tahoma"/>
      <w:sz w:val="16"/>
      <w:szCs w:val="16"/>
    </w:rPr>
  </w:style>
  <w:style w:type="table" w:styleId="TableGrid">
    <w:name w:val="Table Grid"/>
    <w:basedOn w:val="TableNormal"/>
    <w:uiPriority w:val="59"/>
    <w:rsid w:val="0044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D2D"/>
    <w:pPr>
      <w:ind w:left="720"/>
      <w:contextualSpacing/>
    </w:pPr>
  </w:style>
  <w:style w:type="character" w:customStyle="1" w:styleId="Heading1Char">
    <w:name w:val="Heading 1 Char"/>
    <w:basedOn w:val="DefaultParagraphFont"/>
    <w:link w:val="Heading1"/>
    <w:uiPriority w:val="9"/>
    <w:rsid w:val="00690F08"/>
    <w:rPr>
      <w:rFonts w:asciiTheme="majorHAnsi" w:eastAsiaTheme="majorEastAsia" w:hAnsiTheme="majorHAnsi" w:cstheme="majorBidi"/>
      <w:b/>
      <w:bCs/>
      <w:color w:val="001747" w:themeColor="accent1" w:themeShade="BF"/>
      <w:sz w:val="28"/>
      <w:szCs w:val="28"/>
    </w:rPr>
  </w:style>
  <w:style w:type="paragraph" w:styleId="TOCHeading">
    <w:name w:val="TOC Heading"/>
    <w:basedOn w:val="Heading1"/>
    <w:next w:val="Normal"/>
    <w:uiPriority w:val="39"/>
    <w:semiHidden/>
    <w:unhideWhenUsed/>
    <w:qFormat/>
    <w:rsid w:val="00690F08"/>
    <w:pPr>
      <w:outlineLvl w:val="9"/>
    </w:pPr>
    <w:rPr>
      <w:lang w:val="en-US" w:eastAsia="ja-JP"/>
    </w:rPr>
  </w:style>
  <w:style w:type="paragraph" w:styleId="BodyText">
    <w:name w:val="Body Text"/>
    <w:basedOn w:val="Normal"/>
    <w:link w:val="BodyTextChar"/>
    <w:rsid w:val="00690F08"/>
    <w:pPr>
      <w:widowControl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0F08"/>
    <w:rPr>
      <w:rFonts w:ascii="Times New Roman" w:eastAsia="Times New Roman" w:hAnsi="Times New Roman" w:cs="Times New Roman"/>
      <w:sz w:val="24"/>
      <w:szCs w:val="20"/>
    </w:rPr>
  </w:style>
  <w:style w:type="character" w:styleId="FootnoteReference">
    <w:name w:val="footnote reference"/>
    <w:basedOn w:val="DefaultParagraphFont"/>
    <w:rsid w:val="00690F08"/>
    <w:rPr>
      <w:vertAlign w:val="superscript"/>
    </w:rPr>
  </w:style>
  <w:style w:type="paragraph" w:customStyle="1" w:styleId="Default">
    <w:name w:val="Default"/>
    <w:rsid w:val="00690F0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rsid w:val="00690F08"/>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690F08"/>
    <w:rPr>
      <w:rFonts w:ascii="Arial" w:eastAsia="Times New Roman" w:hAnsi="Arial" w:cs="Times New Roman"/>
      <w:sz w:val="20"/>
      <w:szCs w:val="20"/>
      <w:lang w:val="en-US"/>
    </w:rPr>
  </w:style>
  <w:style w:type="table" w:styleId="LightList-Accent5">
    <w:name w:val="Light List Accent 5"/>
    <w:basedOn w:val="TableNormal"/>
    <w:uiPriority w:val="61"/>
    <w:rsid w:val="00690F08"/>
    <w:pPr>
      <w:spacing w:after="0" w:line="240" w:lineRule="auto"/>
    </w:pPr>
    <w:rPr>
      <w:rFonts w:ascii="Arial Narrow" w:eastAsia="Times New Roman" w:hAnsi="Arial Narrow" w:cs="Times New Roman"/>
      <w:sz w:val="24"/>
      <w:szCs w:val="24"/>
      <w:lang w:eastAsia="en-GB"/>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TOC1">
    <w:name w:val="toc 1"/>
    <w:basedOn w:val="Normal"/>
    <w:next w:val="Normal"/>
    <w:autoRedefine/>
    <w:uiPriority w:val="39"/>
    <w:unhideWhenUsed/>
    <w:rsid w:val="00781005"/>
    <w:pPr>
      <w:spacing w:after="100"/>
    </w:pPr>
  </w:style>
  <w:style w:type="character" w:styleId="Hyperlink">
    <w:name w:val="Hyperlink"/>
    <w:basedOn w:val="DefaultParagraphFont"/>
    <w:uiPriority w:val="99"/>
    <w:unhideWhenUsed/>
    <w:rsid w:val="00781005"/>
    <w:rPr>
      <w:color w:val="56C7AA" w:themeColor="hyperlink"/>
      <w:u w:val="single"/>
    </w:rPr>
  </w:style>
  <w:style w:type="paragraph" w:styleId="Header">
    <w:name w:val="header"/>
    <w:basedOn w:val="Normal"/>
    <w:link w:val="HeaderChar"/>
    <w:uiPriority w:val="99"/>
    <w:unhideWhenUsed/>
    <w:rsid w:val="00781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005"/>
  </w:style>
  <w:style w:type="paragraph" w:styleId="Footer">
    <w:name w:val="footer"/>
    <w:basedOn w:val="Normal"/>
    <w:link w:val="FooterChar"/>
    <w:uiPriority w:val="99"/>
    <w:unhideWhenUsed/>
    <w:rsid w:val="0078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005"/>
  </w:style>
  <w:style w:type="character" w:customStyle="1" w:styleId="Heading2Char">
    <w:name w:val="Heading 2 Char"/>
    <w:basedOn w:val="DefaultParagraphFont"/>
    <w:link w:val="Heading2"/>
    <w:uiPriority w:val="9"/>
    <w:semiHidden/>
    <w:rsid w:val="00241B54"/>
    <w:rPr>
      <w:rFonts w:asciiTheme="majorHAnsi" w:eastAsiaTheme="majorEastAsia" w:hAnsiTheme="majorHAnsi" w:cstheme="majorBidi"/>
      <w:b/>
      <w:bCs/>
      <w:color w:val="002060" w:themeColor="accent1"/>
      <w:sz w:val="26"/>
      <w:szCs w:val="26"/>
    </w:rPr>
  </w:style>
  <w:style w:type="paragraph" w:styleId="TOC2">
    <w:name w:val="toc 2"/>
    <w:basedOn w:val="Normal"/>
    <w:next w:val="Normal"/>
    <w:autoRedefine/>
    <w:uiPriority w:val="39"/>
    <w:unhideWhenUsed/>
    <w:rsid w:val="00241B5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12745"/>
      </a:dk2>
      <a:lt2>
        <a:srgbClr val="B4DCFA"/>
      </a:lt2>
      <a:accent1>
        <a:srgbClr val="002060"/>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F8C4-3C23-4C38-B9BF-18F3C80A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Procurement Policy</vt:lpstr>
    </vt:vector>
  </TitlesOfParts>
  <Company>Govan Housing Association</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Policy</dc:title>
  <dc:creator>Administrator</dc:creator>
  <cp:lastModifiedBy>Violet Marshall</cp:lastModifiedBy>
  <cp:revision>3</cp:revision>
  <cp:lastPrinted>2020-08-31T15:42:00Z</cp:lastPrinted>
  <dcterms:created xsi:type="dcterms:W3CDTF">2020-08-31T15:21:00Z</dcterms:created>
  <dcterms:modified xsi:type="dcterms:W3CDTF">2020-08-31T15:42:00Z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