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F0" w:rsidRPr="00DD67F0" w:rsidRDefault="002070F2" w:rsidP="00DD67F0">
      <w:pPr>
        <w:jc w:val="center"/>
        <w:rPr>
          <w:rFonts w:ascii="Arial" w:hAnsi="Arial" w:cs="Arial"/>
        </w:rPr>
      </w:pPr>
      <w:r>
        <w:rPr>
          <w:noProof/>
          <w:lang w:eastAsia="en-GB"/>
        </w:rPr>
        <w:drawing>
          <wp:anchor distT="0" distB="0" distL="114300" distR="114300" simplePos="0" relativeHeight="251664384" behindDoc="1" locked="0" layoutInCell="1" allowOverlap="1" wp14:anchorId="329EF5E8" wp14:editId="174C983B">
            <wp:simplePos x="0" y="0"/>
            <wp:positionH relativeFrom="column">
              <wp:posOffset>3613150</wp:posOffset>
            </wp:positionH>
            <wp:positionV relativeFrom="paragraph">
              <wp:posOffset>128270</wp:posOffset>
            </wp:positionV>
            <wp:extent cx="1819910" cy="1960245"/>
            <wp:effectExtent l="0" t="0" r="8890" b="1905"/>
            <wp:wrapTight wrapText="bothSides">
              <wp:wrapPolygon edited="0">
                <wp:start x="0" y="0"/>
                <wp:lineTo x="0" y="21411"/>
                <wp:lineTo x="21479" y="21411"/>
                <wp:lineTo x="2147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910" cy="1960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noProof/>
          <w:sz w:val="28"/>
          <w:szCs w:val="28"/>
          <w:lang w:eastAsia="en-GB"/>
        </w:rPr>
        <w:drawing>
          <wp:inline distT="0" distB="0" distL="0" distR="0" wp14:anchorId="2707B9F5" wp14:editId="6E75A745">
            <wp:extent cx="2238451" cy="2370125"/>
            <wp:effectExtent l="0" t="0" r="0" b="0"/>
            <wp:docPr id="1" name="Picture 1" descr="Govan HomeTeam-logo (3) Apr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an HomeTeam-logo (3) Aprl 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2370045"/>
                    </a:xfrm>
                    <a:prstGeom prst="rect">
                      <a:avLst/>
                    </a:prstGeom>
                    <a:noFill/>
                    <a:ln>
                      <a:noFill/>
                    </a:ln>
                  </pic:spPr>
                </pic:pic>
              </a:graphicData>
            </a:graphic>
          </wp:inline>
        </w:drawing>
      </w:r>
    </w:p>
    <w:p w:rsidR="00DD67F0" w:rsidRPr="00DD67F0" w:rsidRDefault="00DD67F0" w:rsidP="00DD67F0">
      <w:pPr>
        <w:rPr>
          <w:rFonts w:ascii="Arial" w:hAnsi="Arial" w:cs="Arial"/>
        </w:rPr>
      </w:pPr>
    </w:p>
    <w:p w:rsidR="00DD67F0" w:rsidRPr="00650CDF" w:rsidRDefault="00DD67F0" w:rsidP="00DD67F0">
      <w:pPr>
        <w:jc w:val="center"/>
        <w:rPr>
          <w:rFonts w:ascii="Arial" w:hAnsi="Arial" w:cs="Arial"/>
          <w:b/>
          <w:sz w:val="28"/>
          <w:szCs w:val="28"/>
        </w:rPr>
      </w:pPr>
      <w:r w:rsidRPr="00650CDF">
        <w:rPr>
          <w:rFonts w:ascii="Arial" w:hAnsi="Arial" w:cs="Arial"/>
          <w:b/>
          <w:sz w:val="28"/>
          <w:szCs w:val="28"/>
        </w:rPr>
        <w:t>Group Risk Management Policy</w:t>
      </w:r>
    </w:p>
    <w:p w:rsidR="00DD67F0" w:rsidRPr="00650CDF" w:rsidRDefault="00DD67F0" w:rsidP="00DD67F0">
      <w:pPr>
        <w:jc w:val="center"/>
        <w:rPr>
          <w:rFonts w:ascii="Arial" w:hAnsi="Arial" w:cs="Arial"/>
          <w:b/>
          <w:sz w:val="28"/>
          <w:szCs w:val="28"/>
        </w:rPr>
      </w:pPr>
      <w:r w:rsidRPr="00650CDF">
        <w:rPr>
          <w:rFonts w:ascii="Arial" w:hAnsi="Arial" w:cs="Arial"/>
          <w:b/>
          <w:sz w:val="28"/>
          <w:szCs w:val="28"/>
        </w:rPr>
        <w:t>April 2017</w:t>
      </w:r>
    </w:p>
    <w:p w:rsidR="00DD67F0" w:rsidRPr="00DD67F0" w:rsidRDefault="00DD67F0" w:rsidP="00DD67F0">
      <w:pPr>
        <w:jc w:val="center"/>
        <w:rPr>
          <w:rFonts w:ascii="Arial" w:hAnsi="Arial" w:cs="Arial"/>
        </w:rPr>
      </w:pPr>
    </w:p>
    <w:p w:rsidR="00DD67F0" w:rsidRPr="00DD67F0" w:rsidRDefault="00DD67F0" w:rsidP="00DD67F0">
      <w:pPr>
        <w:jc w:val="center"/>
        <w:rPr>
          <w:rFonts w:ascii="Arial" w:hAnsi="Arial" w:cs="Arial"/>
        </w:rPr>
      </w:pPr>
    </w:p>
    <w:p w:rsidR="00DD67F0" w:rsidRPr="00DD67F0" w:rsidRDefault="00DD67F0" w:rsidP="0052788A">
      <w:pPr>
        <w:rPr>
          <w:rFonts w:ascii="Arial" w:hAnsi="Arial" w:cs="Arial"/>
        </w:rPr>
      </w:pPr>
    </w:p>
    <w:tbl>
      <w:tblPr>
        <w:tblStyle w:val="TableGrid"/>
        <w:tblW w:w="0" w:type="auto"/>
        <w:tblLook w:val="04A0" w:firstRow="1" w:lastRow="0" w:firstColumn="1" w:lastColumn="0" w:noHBand="0" w:noVBand="1"/>
      </w:tblPr>
      <w:tblGrid>
        <w:gridCol w:w="5211"/>
        <w:gridCol w:w="4031"/>
      </w:tblGrid>
      <w:tr w:rsidR="00DD67F0" w:rsidRPr="00DD67F0" w:rsidTr="00DD67F0">
        <w:tc>
          <w:tcPr>
            <w:tcW w:w="5211" w:type="dxa"/>
          </w:tcPr>
          <w:p w:rsidR="00DD67F0" w:rsidRPr="00DD67F0" w:rsidRDefault="00DD67F0" w:rsidP="00DD67F0">
            <w:pPr>
              <w:rPr>
                <w:rFonts w:ascii="Arial" w:hAnsi="Arial" w:cs="Arial"/>
              </w:rPr>
            </w:pPr>
            <w:r w:rsidRPr="00DD67F0">
              <w:rPr>
                <w:rFonts w:ascii="Arial" w:hAnsi="Arial" w:cs="Arial"/>
              </w:rPr>
              <w:t>Policy Manual Section:</w:t>
            </w:r>
          </w:p>
        </w:tc>
        <w:tc>
          <w:tcPr>
            <w:tcW w:w="4031" w:type="dxa"/>
          </w:tcPr>
          <w:p w:rsidR="00DD67F0" w:rsidRPr="00DD67F0" w:rsidRDefault="00DD67F0" w:rsidP="00DD67F0">
            <w:pPr>
              <w:rPr>
                <w:rFonts w:ascii="Arial" w:hAnsi="Arial" w:cs="Arial"/>
              </w:rPr>
            </w:pPr>
            <w:r w:rsidRPr="00DD67F0">
              <w:rPr>
                <w:rFonts w:ascii="Arial" w:hAnsi="Arial" w:cs="Arial"/>
              </w:rPr>
              <w:t>Governance</w:t>
            </w:r>
          </w:p>
        </w:tc>
      </w:tr>
      <w:tr w:rsidR="00DD67F0" w:rsidRPr="00DD67F0" w:rsidTr="00DD67F0">
        <w:tc>
          <w:tcPr>
            <w:tcW w:w="5211" w:type="dxa"/>
          </w:tcPr>
          <w:p w:rsidR="00DD67F0" w:rsidRPr="00DD67F0" w:rsidRDefault="00DD67F0" w:rsidP="00DD67F0">
            <w:pPr>
              <w:rPr>
                <w:rFonts w:ascii="Arial" w:hAnsi="Arial" w:cs="Arial"/>
              </w:rPr>
            </w:pPr>
            <w:r w:rsidRPr="00DD67F0">
              <w:rPr>
                <w:rFonts w:ascii="Arial" w:hAnsi="Arial" w:cs="Arial"/>
              </w:rPr>
              <w:t>Policy Number:</w:t>
            </w:r>
          </w:p>
        </w:tc>
        <w:tc>
          <w:tcPr>
            <w:tcW w:w="4031" w:type="dxa"/>
          </w:tcPr>
          <w:p w:rsidR="00DD67F0" w:rsidRPr="00DD67F0" w:rsidRDefault="00DD67F0" w:rsidP="00DD67F0">
            <w:pPr>
              <w:rPr>
                <w:rFonts w:ascii="Arial" w:hAnsi="Arial" w:cs="Arial"/>
              </w:rPr>
            </w:pPr>
            <w:r w:rsidRPr="00DD67F0">
              <w:rPr>
                <w:rFonts w:ascii="Arial" w:hAnsi="Arial" w:cs="Arial"/>
              </w:rPr>
              <w:t>GO4</w:t>
            </w:r>
          </w:p>
        </w:tc>
      </w:tr>
      <w:tr w:rsidR="00DD67F0" w:rsidRPr="00DD67F0" w:rsidTr="00DD67F0">
        <w:tc>
          <w:tcPr>
            <w:tcW w:w="5211" w:type="dxa"/>
          </w:tcPr>
          <w:p w:rsidR="00DD67F0" w:rsidRPr="00DD67F0" w:rsidRDefault="00DD67F0" w:rsidP="00DD67F0">
            <w:pPr>
              <w:rPr>
                <w:rFonts w:ascii="Arial" w:hAnsi="Arial" w:cs="Arial"/>
              </w:rPr>
            </w:pPr>
            <w:r w:rsidRPr="00DD67F0">
              <w:rPr>
                <w:rFonts w:ascii="Arial" w:hAnsi="Arial" w:cs="Arial"/>
              </w:rPr>
              <w:t>Scottish Social Housing Charter Reference:</w:t>
            </w:r>
          </w:p>
        </w:tc>
        <w:tc>
          <w:tcPr>
            <w:tcW w:w="4031" w:type="dxa"/>
          </w:tcPr>
          <w:p w:rsidR="00DD67F0" w:rsidRPr="00DD67F0" w:rsidRDefault="00DD67F0" w:rsidP="00DD67F0">
            <w:pPr>
              <w:rPr>
                <w:rFonts w:ascii="Arial" w:hAnsi="Arial" w:cs="Arial"/>
              </w:rPr>
            </w:pPr>
            <w:r w:rsidRPr="00DD67F0">
              <w:rPr>
                <w:rFonts w:ascii="Arial" w:hAnsi="Arial" w:cs="Arial"/>
              </w:rPr>
              <w:t>None</w:t>
            </w:r>
          </w:p>
        </w:tc>
      </w:tr>
      <w:tr w:rsidR="00DD67F0" w:rsidRPr="00DD67F0" w:rsidTr="00DD67F0">
        <w:tc>
          <w:tcPr>
            <w:tcW w:w="5211" w:type="dxa"/>
          </w:tcPr>
          <w:p w:rsidR="00DD67F0" w:rsidRPr="00DD67F0" w:rsidRDefault="00DD67F0" w:rsidP="00DD67F0">
            <w:pPr>
              <w:rPr>
                <w:rFonts w:ascii="Arial" w:hAnsi="Arial" w:cs="Arial"/>
              </w:rPr>
            </w:pPr>
            <w:r w:rsidRPr="00DD67F0">
              <w:rPr>
                <w:rFonts w:ascii="Arial" w:hAnsi="Arial" w:cs="Arial"/>
              </w:rPr>
              <w:t>Date Approved by Management Committee:</w:t>
            </w:r>
          </w:p>
        </w:tc>
        <w:tc>
          <w:tcPr>
            <w:tcW w:w="4031" w:type="dxa"/>
          </w:tcPr>
          <w:p w:rsidR="00DD67F0" w:rsidRPr="00DD67F0" w:rsidRDefault="00DD67F0" w:rsidP="00DD67F0">
            <w:pPr>
              <w:rPr>
                <w:rFonts w:ascii="Arial" w:hAnsi="Arial" w:cs="Arial"/>
              </w:rPr>
            </w:pPr>
            <w:r w:rsidRPr="00DD67F0">
              <w:rPr>
                <w:rFonts w:ascii="Arial" w:hAnsi="Arial" w:cs="Arial"/>
              </w:rPr>
              <w:t>April 2017</w:t>
            </w:r>
          </w:p>
        </w:tc>
      </w:tr>
      <w:tr w:rsidR="00DD67F0" w:rsidRPr="00DD67F0" w:rsidTr="00DD67F0">
        <w:tc>
          <w:tcPr>
            <w:tcW w:w="5211" w:type="dxa"/>
          </w:tcPr>
          <w:p w:rsidR="00DD67F0" w:rsidRPr="00DD67F0" w:rsidRDefault="00DD67F0" w:rsidP="00DD67F0">
            <w:pPr>
              <w:rPr>
                <w:rFonts w:ascii="Arial" w:hAnsi="Arial" w:cs="Arial"/>
              </w:rPr>
            </w:pPr>
            <w:r w:rsidRPr="00DD67F0">
              <w:rPr>
                <w:rFonts w:ascii="Arial" w:hAnsi="Arial" w:cs="Arial"/>
              </w:rPr>
              <w:t>Next Review Date:</w:t>
            </w:r>
          </w:p>
        </w:tc>
        <w:tc>
          <w:tcPr>
            <w:tcW w:w="4031" w:type="dxa"/>
          </w:tcPr>
          <w:p w:rsidR="00DD67F0" w:rsidRPr="00DD67F0" w:rsidRDefault="00DD67F0" w:rsidP="00DD67F0">
            <w:pPr>
              <w:rPr>
                <w:rFonts w:ascii="Arial" w:hAnsi="Arial" w:cs="Arial"/>
              </w:rPr>
            </w:pPr>
            <w:r w:rsidRPr="00DD67F0">
              <w:rPr>
                <w:rFonts w:ascii="Arial" w:hAnsi="Arial" w:cs="Arial"/>
              </w:rPr>
              <w:t>April 2020</w:t>
            </w:r>
          </w:p>
        </w:tc>
      </w:tr>
    </w:tbl>
    <w:p w:rsidR="00DD67F0" w:rsidRPr="00DD67F0" w:rsidRDefault="00DD67F0" w:rsidP="00DD67F0">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DD67F0" w:rsidRPr="00DD67F0" w:rsidTr="00DD67F0">
        <w:tc>
          <w:tcPr>
            <w:tcW w:w="9242" w:type="dxa"/>
            <w:shd w:val="clear" w:color="auto" w:fill="BFBFBF" w:themeFill="background1" w:themeFillShade="BF"/>
          </w:tcPr>
          <w:p w:rsidR="00DD67F0" w:rsidRPr="00DD67F0" w:rsidRDefault="00DD67F0" w:rsidP="00DD67F0">
            <w:pPr>
              <w:rPr>
                <w:rFonts w:ascii="Arial" w:hAnsi="Arial" w:cs="Arial"/>
              </w:rPr>
            </w:pPr>
          </w:p>
          <w:p w:rsidR="00DD67F0" w:rsidRPr="00DD67F0" w:rsidRDefault="002070F2" w:rsidP="00DD67F0">
            <w:pPr>
              <w:jc w:val="center"/>
              <w:rPr>
                <w:rFonts w:ascii="Arial" w:hAnsi="Arial" w:cs="Arial"/>
                <w:b/>
              </w:rPr>
            </w:pPr>
            <w:r>
              <w:rPr>
                <w:rFonts w:ascii="Arial" w:hAnsi="Arial" w:cs="Arial"/>
                <w:b/>
              </w:rPr>
              <w:t>This document</w:t>
            </w:r>
            <w:r w:rsidR="00DD67F0" w:rsidRPr="00DD67F0">
              <w:rPr>
                <w:rFonts w:ascii="Arial" w:hAnsi="Arial" w:cs="Arial"/>
                <w:b/>
              </w:rPr>
              <w:t xml:space="preserve"> can provide this document on request, in different languages and formats, including Braille and audio formats.</w:t>
            </w:r>
          </w:p>
          <w:p w:rsidR="00DD67F0" w:rsidRPr="00DD67F0" w:rsidRDefault="00DD67F0" w:rsidP="00DD67F0">
            <w:pPr>
              <w:rPr>
                <w:rFonts w:ascii="Arial" w:hAnsi="Arial" w:cs="Arial"/>
              </w:rPr>
            </w:pPr>
          </w:p>
        </w:tc>
      </w:tr>
    </w:tbl>
    <w:p w:rsidR="00341E97" w:rsidRDefault="00341E97" w:rsidP="00DD67F0">
      <w:pPr>
        <w:jc w:val="center"/>
        <w:rPr>
          <w:rFonts w:ascii="Arial" w:hAnsi="Arial" w:cs="Arial"/>
        </w:rPr>
      </w:pPr>
      <w:r w:rsidRPr="00DD67F0">
        <w:rPr>
          <w:rFonts w:ascii="Arial" w:hAnsi="Arial" w:cs="Arial"/>
          <w:noProof/>
          <w:lang w:eastAsia="en-GB"/>
        </w:rPr>
        <w:drawing>
          <wp:anchor distT="0" distB="0" distL="114300" distR="114300" simplePos="0" relativeHeight="251658240" behindDoc="1" locked="0" layoutInCell="1" allowOverlap="1" wp14:anchorId="2DCFD74F" wp14:editId="1983CF83">
            <wp:simplePos x="0" y="0"/>
            <wp:positionH relativeFrom="column">
              <wp:posOffset>2028825</wp:posOffset>
            </wp:positionH>
            <wp:positionV relativeFrom="paragraph">
              <wp:posOffset>177165</wp:posOffset>
            </wp:positionV>
            <wp:extent cx="1485900" cy="800100"/>
            <wp:effectExtent l="0" t="0" r="0" b="0"/>
            <wp:wrapTight wrapText="bothSides">
              <wp:wrapPolygon edited="0">
                <wp:start x="0" y="0"/>
                <wp:lineTo x="0" y="21086"/>
                <wp:lineTo x="21323" y="21086"/>
                <wp:lineTo x="21323" y="0"/>
                <wp:lineTo x="0" y="0"/>
              </wp:wrapPolygon>
            </wp:wrapTight>
            <wp:docPr id="9" name="Picture 9" descr="Description: HTT Logo 2Colour 300dpi Mar07"/>
            <wp:cNvGraphicFramePr/>
            <a:graphic xmlns:a="http://schemas.openxmlformats.org/drawingml/2006/main">
              <a:graphicData uri="http://schemas.openxmlformats.org/drawingml/2006/picture">
                <pic:pic xmlns:pic="http://schemas.openxmlformats.org/drawingml/2006/picture">
                  <pic:nvPicPr>
                    <pic:cNvPr id="9" name="Picture 9" descr="Description: HTT Logo 2Colour 300dpi Mar0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7F0" w:rsidRPr="00DD67F0" w:rsidRDefault="00DD67F0" w:rsidP="00DD67F0">
      <w:pPr>
        <w:jc w:val="center"/>
        <w:rPr>
          <w:rFonts w:ascii="Arial" w:hAnsi="Arial" w:cs="Arial"/>
        </w:rPr>
      </w:pPr>
    </w:p>
    <w:p w:rsidR="0077778B" w:rsidRPr="0077778B" w:rsidRDefault="0077778B" w:rsidP="0077778B">
      <w:pPr>
        <w:rPr>
          <w:lang w:eastAsia="en-GB"/>
        </w:rPr>
      </w:pPr>
      <w:bookmarkStart w:id="0" w:name="_Toc479768219"/>
      <w:bookmarkStart w:id="1" w:name="_Toc414377649"/>
    </w:p>
    <w:p w:rsidR="0052788A" w:rsidRDefault="0052788A">
      <w:pPr>
        <w:rPr>
          <w:rFonts w:ascii="Arial" w:eastAsiaTheme="majorEastAsia" w:hAnsi="Arial" w:cs="Arial"/>
          <w:b/>
          <w:noProof/>
          <w:color w:val="4F81BD" w:themeColor="accent1"/>
          <w:lang w:eastAsia="en-GB"/>
        </w:rPr>
      </w:pPr>
      <w:r>
        <w:rPr>
          <w:rFonts w:ascii="Arial" w:hAnsi="Arial" w:cs="Arial"/>
          <w:bCs/>
          <w:noProof/>
          <w:lang w:eastAsia="en-GB"/>
        </w:rPr>
        <w:br w:type="page"/>
      </w:r>
    </w:p>
    <w:p w:rsidR="00DD67F0" w:rsidRPr="00DD67F0" w:rsidRDefault="0077778B" w:rsidP="0077778B">
      <w:pPr>
        <w:pStyle w:val="Heading2"/>
        <w:spacing w:before="0"/>
        <w:rPr>
          <w:rFonts w:ascii="Arial" w:hAnsi="Arial" w:cs="Arial"/>
          <w:noProof/>
          <w:sz w:val="22"/>
          <w:szCs w:val="22"/>
          <w:lang w:eastAsia="en-GB"/>
        </w:rPr>
      </w:pPr>
      <w:r>
        <w:rPr>
          <w:rFonts w:ascii="Arial" w:hAnsi="Arial" w:cs="Arial"/>
          <w:bCs w:val="0"/>
          <w:noProof/>
          <w:sz w:val="22"/>
          <w:szCs w:val="22"/>
          <w:lang w:eastAsia="en-GB"/>
        </w:rPr>
        <w:lastRenderedPageBreak/>
        <w:t>1</w:t>
      </w:r>
      <w:r w:rsidRPr="0077778B">
        <w:rPr>
          <w:rFonts w:ascii="Arial" w:hAnsi="Arial" w:cs="Arial"/>
          <w:b w:val="0"/>
          <w:bCs w:val="0"/>
          <w:noProof/>
          <w:sz w:val="22"/>
          <w:szCs w:val="22"/>
          <w:lang w:eastAsia="en-GB"/>
        </w:rPr>
        <w:t>.</w:t>
      </w:r>
      <w:r>
        <w:rPr>
          <w:rFonts w:ascii="Arial" w:hAnsi="Arial" w:cs="Arial"/>
          <w:noProof/>
          <w:sz w:val="22"/>
          <w:szCs w:val="22"/>
          <w:lang w:eastAsia="en-GB"/>
        </w:rPr>
        <w:t xml:space="preserve"> </w:t>
      </w:r>
      <w:r w:rsidR="00DD67F0" w:rsidRPr="00DD67F0">
        <w:rPr>
          <w:rFonts w:ascii="Arial" w:hAnsi="Arial" w:cs="Arial"/>
          <w:noProof/>
          <w:sz w:val="22"/>
          <w:szCs w:val="22"/>
          <w:lang w:eastAsia="en-GB"/>
        </w:rPr>
        <w:t>Introduction</w:t>
      </w:r>
      <w:bookmarkEnd w:id="0"/>
      <w:bookmarkEnd w:id="1"/>
    </w:p>
    <w:p w:rsidR="00DD67F0" w:rsidRPr="00DD67F0" w:rsidRDefault="00DD67F0" w:rsidP="00DD67F0">
      <w:pPr>
        <w:autoSpaceDE w:val="0"/>
        <w:autoSpaceDN w:val="0"/>
        <w:adjustRightInd w:val="0"/>
        <w:spacing w:after="0" w:line="240" w:lineRule="auto"/>
        <w:rPr>
          <w:rFonts w:ascii="Arial" w:hAnsi="Arial" w:cs="Arial"/>
        </w:rPr>
      </w:pPr>
    </w:p>
    <w:p w:rsidR="00341E97" w:rsidRPr="00650CDF" w:rsidRDefault="00DD67F0" w:rsidP="00650CDF">
      <w:pPr>
        <w:autoSpaceDE w:val="0"/>
        <w:autoSpaceDN w:val="0"/>
        <w:adjustRightInd w:val="0"/>
        <w:spacing w:after="0" w:line="240" w:lineRule="auto"/>
        <w:ind w:left="720" w:hanging="720"/>
        <w:jc w:val="both"/>
        <w:rPr>
          <w:rFonts w:ascii="Arial" w:hAnsi="Arial" w:cs="Arial"/>
          <w:sz w:val="24"/>
          <w:szCs w:val="24"/>
        </w:rPr>
      </w:pPr>
      <w:r>
        <w:rPr>
          <w:rFonts w:ascii="Arial" w:hAnsi="Arial" w:cs="Arial"/>
        </w:rPr>
        <w:t>1.1</w:t>
      </w:r>
      <w:r>
        <w:rPr>
          <w:rFonts w:ascii="Arial" w:hAnsi="Arial" w:cs="Arial"/>
        </w:rPr>
        <w:tab/>
      </w:r>
      <w:r w:rsidR="00341E97" w:rsidRPr="00650CDF">
        <w:rPr>
          <w:rFonts w:ascii="Arial" w:hAnsi="Arial" w:cs="Arial"/>
          <w:sz w:val="24"/>
          <w:szCs w:val="24"/>
        </w:rPr>
        <w:t xml:space="preserve">This document sets out the Govan Housing Association Group Policy for Risk Management. For the purposes of this Policy the Group incorporates Govan Housing Association Ltd and Govan HOME Team C.I.C. </w:t>
      </w:r>
    </w:p>
    <w:p w:rsidR="00341E97" w:rsidRPr="00650CDF" w:rsidRDefault="00341E97" w:rsidP="00650CDF">
      <w:pPr>
        <w:autoSpaceDE w:val="0"/>
        <w:autoSpaceDN w:val="0"/>
        <w:adjustRightInd w:val="0"/>
        <w:spacing w:after="0" w:line="240" w:lineRule="auto"/>
        <w:ind w:left="720" w:hanging="720"/>
        <w:jc w:val="both"/>
        <w:rPr>
          <w:rFonts w:ascii="Arial" w:hAnsi="Arial" w:cs="Arial"/>
          <w:sz w:val="24"/>
          <w:szCs w:val="24"/>
        </w:rPr>
      </w:pPr>
    </w:p>
    <w:p w:rsidR="00341E97" w:rsidRPr="00650CDF" w:rsidRDefault="00341E97"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1.2</w:t>
      </w:r>
      <w:r w:rsidRPr="00650CDF">
        <w:rPr>
          <w:rFonts w:ascii="Arial" w:hAnsi="Arial" w:cs="Arial"/>
          <w:sz w:val="24"/>
          <w:szCs w:val="24"/>
        </w:rPr>
        <w:tab/>
        <w:t xml:space="preserve">The management of risk is an essential part of good governance. Ultimate accountability for the control and management of risk rests with the Govan Housing Association Board and subsidiary company Boards. </w:t>
      </w:r>
    </w:p>
    <w:p w:rsidR="00341E97" w:rsidRPr="00650CDF" w:rsidRDefault="00341E97" w:rsidP="00650CDF">
      <w:pPr>
        <w:autoSpaceDE w:val="0"/>
        <w:autoSpaceDN w:val="0"/>
        <w:adjustRightInd w:val="0"/>
        <w:spacing w:after="0" w:line="240" w:lineRule="auto"/>
        <w:ind w:left="720" w:hanging="720"/>
        <w:jc w:val="both"/>
        <w:rPr>
          <w:rFonts w:ascii="Arial" w:hAnsi="Arial" w:cs="Arial"/>
          <w:sz w:val="24"/>
          <w:szCs w:val="24"/>
        </w:rPr>
      </w:pPr>
    </w:p>
    <w:p w:rsidR="00341E97" w:rsidRPr="00650CDF" w:rsidRDefault="00341E97"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1.3</w:t>
      </w:r>
      <w:r w:rsidRPr="00650CDF">
        <w:rPr>
          <w:rFonts w:ascii="Arial" w:hAnsi="Arial" w:cs="Arial"/>
          <w:sz w:val="24"/>
          <w:szCs w:val="24"/>
        </w:rPr>
        <w:tab/>
        <w:t>This policy recognises that all organisations face a range of risks which can affect the achievement of their corporate objectives. The Group is committed to the proactive management of risk, and view this as a key responsibility of all employees. Discharging these responsibilities through implementation of this Policy will significantly assist the Group to continue to meet and deliver its corporate objectives without jeopardising its:</w:t>
      </w:r>
    </w:p>
    <w:p w:rsidR="00341E97" w:rsidRPr="00650CDF" w:rsidRDefault="00341E97" w:rsidP="00650CDF">
      <w:pPr>
        <w:autoSpaceDE w:val="0"/>
        <w:autoSpaceDN w:val="0"/>
        <w:adjustRightInd w:val="0"/>
        <w:spacing w:after="0" w:line="240" w:lineRule="auto"/>
        <w:ind w:left="720" w:hanging="720"/>
        <w:jc w:val="both"/>
        <w:rPr>
          <w:rFonts w:ascii="Arial" w:hAnsi="Arial" w:cs="Arial"/>
          <w:sz w:val="24"/>
          <w:szCs w:val="24"/>
        </w:rPr>
      </w:pPr>
    </w:p>
    <w:p w:rsidR="00341E97" w:rsidRPr="00650CDF" w:rsidRDefault="00341E97" w:rsidP="00650CDF">
      <w:pPr>
        <w:pStyle w:val="ListParagraph"/>
        <w:numPr>
          <w:ilvl w:val="0"/>
          <w:numId w:val="6"/>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Reputation.</w:t>
      </w:r>
    </w:p>
    <w:p w:rsidR="00341E97" w:rsidRPr="00650CDF" w:rsidRDefault="00341E97" w:rsidP="00650CDF">
      <w:pPr>
        <w:pStyle w:val="ListParagraph"/>
        <w:numPr>
          <w:ilvl w:val="0"/>
          <w:numId w:val="6"/>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Financial Viability.</w:t>
      </w:r>
    </w:p>
    <w:p w:rsidR="00341E97" w:rsidRPr="00650CDF" w:rsidRDefault="00341E97" w:rsidP="00650CDF">
      <w:pPr>
        <w:pStyle w:val="ListParagraph"/>
        <w:numPr>
          <w:ilvl w:val="0"/>
          <w:numId w:val="6"/>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Assets and Resources, and the </w:t>
      </w:r>
    </w:p>
    <w:p w:rsidR="00DD67F0" w:rsidRPr="00650CDF" w:rsidRDefault="00341E97" w:rsidP="00650CDF">
      <w:pPr>
        <w:pStyle w:val="ListParagraph"/>
        <w:numPr>
          <w:ilvl w:val="0"/>
          <w:numId w:val="6"/>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Provision of affordable, high quality housing services.</w:t>
      </w:r>
      <w:r w:rsidR="00DD67F0" w:rsidRPr="00650CDF">
        <w:rPr>
          <w:rFonts w:ascii="Arial" w:hAnsi="Arial" w:cs="Arial"/>
          <w:sz w:val="24"/>
          <w:szCs w:val="24"/>
        </w:rPr>
        <w:t xml:space="preserve"> </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Pr="00650CDF" w:rsidRDefault="00341E97"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1.4</w:t>
      </w:r>
      <w:r w:rsidRPr="00650CDF">
        <w:rPr>
          <w:rFonts w:ascii="Arial" w:hAnsi="Arial" w:cs="Arial"/>
          <w:sz w:val="24"/>
          <w:szCs w:val="24"/>
        </w:rPr>
        <w:tab/>
        <w:t>This Policy provides a framework and guidance within which the Executive Management Team and Senior Management Team can measure, assess, mitigate, manage and monitor risk, ensuring that a proactive risk management culture is embedded across the Group. Moreover, it facilitates the development and implementation of actions aimed at improving current assurance and internal control systems. These interventions will be assessed to ensure that they are both proportionate, targeted and focussed on reducing or mitigating the threat of risk.</w:t>
      </w:r>
      <w:r w:rsidR="00DD67F0" w:rsidRPr="00650CDF">
        <w:rPr>
          <w:rFonts w:ascii="Arial" w:hAnsi="Arial" w:cs="Arial"/>
          <w:sz w:val="24"/>
          <w:szCs w:val="24"/>
        </w:rPr>
        <w:t xml:space="preserve"> </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Pr="00650CDF" w:rsidRDefault="00341E97" w:rsidP="00650CDF">
      <w:pPr>
        <w:pStyle w:val="ListParagraph"/>
        <w:numPr>
          <w:ilvl w:val="1"/>
          <w:numId w:val="5"/>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Implementation of this Policy will help to ensure that the Group:</w:t>
      </w:r>
    </w:p>
    <w:p w:rsidR="00341E97" w:rsidRPr="00650CDF" w:rsidRDefault="00341E97" w:rsidP="00650CDF">
      <w:pPr>
        <w:autoSpaceDE w:val="0"/>
        <w:autoSpaceDN w:val="0"/>
        <w:adjustRightInd w:val="0"/>
        <w:spacing w:after="0" w:line="240" w:lineRule="auto"/>
        <w:jc w:val="both"/>
        <w:rPr>
          <w:rFonts w:ascii="Arial" w:hAnsi="Arial" w:cs="Arial"/>
          <w:sz w:val="24"/>
          <w:szCs w:val="24"/>
        </w:rPr>
      </w:pP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Creates a focus towards the achievement of corporate objectives.</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Adds value to the business and assists with the strategic prioritisation of risk as well as its identification, management and mitigation.</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Keeps informed, adapts flexibly to emerging issues and effectively manages change.</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Protects and enhances its assets, people, resources and wider reputation. </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Supports a learning, innovative and creative culture.</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Ensures accountability and clarifies individual responsibilities for risk management.</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Has robust and effective risk reporting, assurance and internal control systems.</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Stakeholder reporting contains sufficient and accurate disclosure(s).</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lastRenderedPageBreak/>
        <w:t>Links risk to the Group’s corporate planning, business planning and annual budget setting processes.</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Improves transparency and justifies decisions.</w:t>
      </w:r>
    </w:p>
    <w:p w:rsidR="00341E97" w:rsidRPr="00650CDF" w:rsidRDefault="00341E97"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Informs the insurance renewal process.</w:t>
      </w:r>
    </w:p>
    <w:p w:rsidR="00341E97" w:rsidRPr="00650CDF" w:rsidRDefault="00341E97" w:rsidP="00650CDF">
      <w:pPr>
        <w:autoSpaceDE w:val="0"/>
        <w:autoSpaceDN w:val="0"/>
        <w:adjustRightInd w:val="0"/>
        <w:spacing w:after="0" w:line="240" w:lineRule="auto"/>
        <w:jc w:val="both"/>
        <w:rPr>
          <w:rFonts w:ascii="Arial" w:hAnsi="Arial" w:cs="Arial"/>
          <w:sz w:val="24"/>
          <w:szCs w:val="24"/>
        </w:rPr>
      </w:pPr>
    </w:p>
    <w:p w:rsidR="00341E97" w:rsidRPr="00650CDF" w:rsidRDefault="00981BC2"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1.6</w:t>
      </w:r>
      <w:r w:rsidRPr="00650CDF">
        <w:rPr>
          <w:rFonts w:ascii="Arial" w:hAnsi="Arial" w:cs="Arial"/>
          <w:sz w:val="24"/>
          <w:szCs w:val="24"/>
        </w:rPr>
        <w:tab/>
        <w:t xml:space="preserve">The application of this Policy ensures that the Group is compliant with the outcomes of the Scottish Housing Regulator’s Framework on Regulatory Standards of Governance and Financial Management. </w:t>
      </w:r>
    </w:p>
    <w:p w:rsidR="00341E97" w:rsidRPr="00650CDF" w:rsidRDefault="00341E97" w:rsidP="00650CDF">
      <w:pPr>
        <w:autoSpaceDE w:val="0"/>
        <w:autoSpaceDN w:val="0"/>
        <w:adjustRightInd w:val="0"/>
        <w:spacing w:after="0" w:line="240" w:lineRule="auto"/>
        <w:ind w:left="720"/>
        <w:jc w:val="both"/>
        <w:rPr>
          <w:rFonts w:ascii="Arial" w:hAnsi="Arial" w:cs="Arial"/>
          <w:sz w:val="24"/>
          <w:szCs w:val="24"/>
        </w:rPr>
      </w:pPr>
    </w:p>
    <w:p w:rsidR="00DD67F0" w:rsidRPr="00650CDF" w:rsidRDefault="00981BC2"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1.7</w:t>
      </w:r>
      <w:r w:rsidRPr="00650CDF">
        <w:rPr>
          <w:rFonts w:ascii="Arial" w:hAnsi="Arial" w:cs="Arial"/>
          <w:sz w:val="24"/>
          <w:szCs w:val="24"/>
        </w:rPr>
        <w:tab/>
        <w:t>This Policy is linked to:</w:t>
      </w:r>
    </w:p>
    <w:p w:rsidR="00981BC2" w:rsidRPr="00650CDF" w:rsidRDefault="00981BC2" w:rsidP="00650CDF">
      <w:pPr>
        <w:autoSpaceDE w:val="0"/>
        <w:autoSpaceDN w:val="0"/>
        <w:adjustRightInd w:val="0"/>
        <w:spacing w:after="0" w:line="240" w:lineRule="auto"/>
        <w:ind w:left="720" w:hanging="720"/>
        <w:jc w:val="both"/>
        <w:rPr>
          <w:rFonts w:ascii="Arial" w:hAnsi="Arial" w:cs="Arial"/>
          <w:sz w:val="24"/>
          <w:szCs w:val="24"/>
        </w:rPr>
      </w:pPr>
    </w:p>
    <w:p w:rsidR="00981BC2" w:rsidRPr="00650CDF" w:rsidRDefault="00981BC2"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Financial Regulations and Operating Procedures.</w:t>
      </w:r>
    </w:p>
    <w:p w:rsidR="00981BC2" w:rsidRPr="00650CDF" w:rsidRDefault="00981BC2"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Fraud Policy.</w:t>
      </w:r>
    </w:p>
    <w:p w:rsidR="00981BC2" w:rsidRPr="00650CDF" w:rsidRDefault="00981BC2"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Bribery Policy.</w:t>
      </w:r>
    </w:p>
    <w:p w:rsidR="00981BC2" w:rsidRPr="00650CDF" w:rsidRDefault="00981BC2"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Health and Safety Policy.</w:t>
      </w:r>
    </w:p>
    <w:p w:rsidR="00981BC2" w:rsidRPr="00650CDF" w:rsidRDefault="00981BC2" w:rsidP="00650CDF">
      <w:pPr>
        <w:pStyle w:val="ListParagraph"/>
        <w:numPr>
          <w:ilvl w:val="0"/>
          <w:numId w:val="7"/>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Business Continuity and Disaster Recovery Policy.</w:t>
      </w:r>
    </w:p>
    <w:p w:rsidR="00981BC2" w:rsidRPr="00650CDF" w:rsidRDefault="00981BC2" w:rsidP="00650CDF">
      <w:pPr>
        <w:autoSpaceDE w:val="0"/>
        <w:autoSpaceDN w:val="0"/>
        <w:adjustRightInd w:val="0"/>
        <w:spacing w:after="0" w:line="240" w:lineRule="auto"/>
        <w:jc w:val="both"/>
        <w:rPr>
          <w:rFonts w:ascii="Arial" w:hAnsi="Arial" w:cs="Arial"/>
          <w:sz w:val="24"/>
          <w:szCs w:val="24"/>
        </w:rPr>
      </w:pPr>
    </w:p>
    <w:p w:rsidR="00981BC2" w:rsidRPr="00650CDF" w:rsidRDefault="00981BC2" w:rsidP="00650CDF">
      <w:pPr>
        <w:autoSpaceDE w:val="0"/>
        <w:autoSpaceDN w:val="0"/>
        <w:adjustRightInd w:val="0"/>
        <w:spacing w:after="0" w:line="240" w:lineRule="auto"/>
        <w:ind w:left="360"/>
        <w:jc w:val="both"/>
        <w:rPr>
          <w:rFonts w:ascii="Arial" w:hAnsi="Arial" w:cs="Arial"/>
          <w:sz w:val="24"/>
          <w:szCs w:val="24"/>
        </w:rPr>
      </w:pPr>
    </w:p>
    <w:p w:rsidR="00DD67F0" w:rsidRPr="00650CDF" w:rsidRDefault="00DD67F0" w:rsidP="00650CDF">
      <w:pPr>
        <w:pStyle w:val="Heading2"/>
        <w:numPr>
          <w:ilvl w:val="0"/>
          <w:numId w:val="5"/>
        </w:numPr>
        <w:spacing w:before="0"/>
        <w:jc w:val="both"/>
        <w:rPr>
          <w:rFonts w:ascii="Arial" w:hAnsi="Arial" w:cs="Arial"/>
          <w:noProof/>
          <w:sz w:val="24"/>
          <w:szCs w:val="24"/>
          <w:lang w:eastAsia="en-GB"/>
        </w:rPr>
      </w:pPr>
      <w:bookmarkStart w:id="2" w:name="_Toc414377650"/>
      <w:bookmarkStart w:id="3" w:name="_Toc479768220"/>
      <w:r w:rsidRPr="00650CDF">
        <w:rPr>
          <w:rFonts w:ascii="Arial" w:hAnsi="Arial" w:cs="Arial"/>
          <w:noProof/>
          <w:sz w:val="24"/>
          <w:szCs w:val="24"/>
          <w:lang w:eastAsia="en-GB"/>
        </w:rPr>
        <w:t>Underlying Approach to Risk Management</w:t>
      </w:r>
      <w:bookmarkEnd w:id="2"/>
      <w:bookmarkEnd w:id="3"/>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194BAB"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2.1</w:t>
      </w:r>
      <w:r w:rsidRPr="00650CDF">
        <w:rPr>
          <w:rFonts w:ascii="Arial" w:hAnsi="Arial" w:cs="Arial"/>
          <w:sz w:val="24"/>
          <w:szCs w:val="24"/>
        </w:rPr>
        <w:tab/>
      </w:r>
      <w:r w:rsidR="00194BAB" w:rsidRPr="00650CDF">
        <w:rPr>
          <w:rFonts w:ascii="Arial" w:hAnsi="Arial" w:cs="Arial"/>
          <w:sz w:val="24"/>
          <w:szCs w:val="24"/>
        </w:rPr>
        <w:t xml:space="preserve">It is the Govan Housing Association and subsidiary Board’s responsibility to determine its appetite to risk and to ensure that robust risk management systems are in place and operating within acceptable levels. </w:t>
      </w:r>
    </w:p>
    <w:p w:rsidR="00194BAB" w:rsidRPr="00650CDF" w:rsidRDefault="00194BAB" w:rsidP="00650CDF">
      <w:pPr>
        <w:autoSpaceDE w:val="0"/>
        <w:autoSpaceDN w:val="0"/>
        <w:adjustRightInd w:val="0"/>
        <w:spacing w:after="0" w:line="240" w:lineRule="auto"/>
        <w:ind w:left="720" w:hanging="720"/>
        <w:jc w:val="both"/>
        <w:rPr>
          <w:rFonts w:ascii="Arial" w:hAnsi="Arial" w:cs="Arial"/>
          <w:sz w:val="24"/>
          <w:szCs w:val="24"/>
        </w:rPr>
      </w:pPr>
    </w:p>
    <w:p w:rsidR="00194BAB" w:rsidRPr="00650CDF" w:rsidRDefault="00194BAB"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2.2</w:t>
      </w:r>
      <w:r w:rsidRPr="00650CDF">
        <w:rPr>
          <w:rFonts w:ascii="Arial" w:hAnsi="Arial" w:cs="Arial"/>
          <w:sz w:val="24"/>
          <w:szCs w:val="24"/>
        </w:rPr>
        <w:tab/>
        <w:t>The Group recognises that it has responsibilities to protect and safeguard the use and application of tenants and public funds and will therefore take all reasonable measures to prevent, minimise and where possible mitigate the impact and likelihood of risks from crystallising.</w:t>
      </w:r>
    </w:p>
    <w:p w:rsidR="00194BAB" w:rsidRPr="00650CDF" w:rsidRDefault="00194BAB" w:rsidP="00650CDF">
      <w:pPr>
        <w:autoSpaceDE w:val="0"/>
        <w:autoSpaceDN w:val="0"/>
        <w:adjustRightInd w:val="0"/>
        <w:spacing w:after="0" w:line="240" w:lineRule="auto"/>
        <w:ind w:left="720" w:hanging="720"/>
        <w:jc w:val="both"/>
        <w:rPr>
          <w:rFonts w:ascii="Arial" w:hAnsi="Arial" w:cs="Arial"/>
          <w:sz w:val="24"/>
          <w:szCs w:val="24"/>
        </w:rPr>
      </w:pPr>
    </w:p>
    <w:p w:rsidR="00D624E9" w:rsidRPr="00650CDF" w:rsidRDefault="00194BAB"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2.3</w:t>
      </w:r>
      <w:r w:rsidRPr="00650CDF">
        <w:rPr>
          <w:rFonts w:ascii="Arial" w:hAnsi="Arial" w:cs="Arial"/>
          <w:sz w:val="24"/>
          <w:szCs w:val="24"/>
        </w:rPr>
        <w:tab/>
      </w:r>
      <w:r w:rsidR="00D624E9" w:rsidRPr="00650CDF">
        <w:rPr>
          <w:rFonts w:ascii="Arial" w:hAnsi="Arial" w:cs="Arial"/>
          <w:sz w:val="24"/>
          <w:szCs w:val="24"/>
        </w:rPr>
        <w:t>The Group’s approach to risk is to assess risk in respect of the combination of likelihood of something happening and the impact that arises if it does happen.</w:t>
      </w:r>
    </w:p>
    <w:p w:rsidR="00D624E9"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p>
    <w:p w:rsidR="00DD67F0" w:rsidRPr="00650CDF" w:rsidRDefault="00194BAB"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2.4</w:t>
      </w:r>
      <w:r w:rsidR="00D624E9" w:rsidRPr="00650CDF">
        <w:rPr>
          <w:rFonts w:ascii="Arial" w:hAnsi="Arial" w:cs="Arial"/>
          <w:sz w:val="24"/>
          <w:szCs w:val="24"/>
        </w:rPr>
        <w:tab/>
      </w:r>
      <w:r w:rsidR="00DD67F0" w:rsidRPr="00650CDF">
        <w:rPr>
          <w:rFonts w:ascii="Arial" w:hAnsi="Arial" w:cs="Arial"/>
          <w:sz w:val="24"/>
          <w:szCs w:val="24"/>
        </w:rPr>
        <w:t xml:space="preserve">Risk is defined as the uncertainty of outcome, whether positive opportunity or negative threat of action and events. By its nature, risk is not necessarily bad. </w:t>
      </w:r>
      <w:r w:rsidRPr="00650CDF">
        <w:rPr>
          <w:rFonts w:ascii="Arial" w:hAnsi="Arial" w:cs="Arial"/>
          <w:sz w:val="24"/>
          <w:szCs w:val="24"/>
        </w:rPr>
        <w:t>The Group appreciates that r</w:t>
      </w:r>
      <w:r w:rsidR="00DD67F0" w:rsidRPr="00650CDF">
        <w:rPr>
          <w:rFonts w:ascii="Arial" w:hAnsi="Arial" w:cs="Arial"/>
          <w:sz w:val="24"/>
          <w:szCs w:val="24"/>
        </w:rPr>
        <w:t xml:space="preserve">isk has to be assessed in respect of the combination of likelihood of something happening and the impact that arises if it does happen. </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Default="00194BAB"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2.5</w:t>
      </w:r>
      <w:r w:rsidR="00D624E9" w:rsidRPr="00650CDF">
        <w:rPr>
          <w:rFonts w:ascii="Arial" w:hAnsi="Arial" w:cs="Arial"/>
          <w:sz w:val="24"/>
          <w:szCs w:val="24"/>
        </w:rPr>
        <w:tab/>
      </w:r>
      <w:r w:rsidR="00DD67F0" w:rsidRPr="00650CDF">
        <w:rPr>
          <w:rFonts w:ascii="Arial" w:hAnsi="Arial" w:cs="Arial"/>
          <w:sz w:val="24"/>
          <w:szCs w:val="24"/>
        </w:rPr>
        <w:t xml:space="preserve">The resources available for managing risk are finite and so it is the aim of the </w:t>
      </w:r>
      <w:r w:rsidR="00D624E9" w:rsidRPr="00650CDF">
        <w:rPr>
          <w:rFonts w:ascii="Arial" w:hAnsi="Arial" w:cs="Arial"/>
          <w:sz w:val="24"/>
          <w:szCs w:val="24"/>
        </w:rPr>
        <w:t>Group</w:t>
      </w:r>
      <w:r w:rsidR="00DD67F0" w:rsidRPr="00650CDF">
        <w:rPr>
          <w:rFonts w:ascii="Arial" w:hAnsi="Arial" w:cs="Arial"/>
          <w:sz w:val="24"/>
          <w:szCs w:val="24"/>
        </w:rPr>
        <w:t xml:space="preserve"> to achieve an optimum response to risk and identify priorities in accordance with our evaluation of the risks. The term </w:t>
      </w:r>
      <w:r w:rsidR="00DD67F0" w:rsidRPr="00650CDF">
        <w:rPr>
          <w:rFonts w:ascii="Arial" w:hAnsi="Arial" w:cs="Arial"/>
          <w:b/>
          <w:sz w:val="24"/>
          <w:szCs w:val="24"/>
        </w:rPr>
        <w:t>‘risk appetite’</w:t>
      </w:r>
      <w:r w:rsidR="00DD67F0" w:rsidRPr="00650CDF">
        <w:rPr>
          <w:rFonts w:ascii="Arial" w:hAnsi="Arial" w:cs="Arial"/>
          <w:sz w:val="24"/>
          <w:szCs w:val="24"/>
        </w:rPr>
        <w:t xml:space="preserve"> is used to refer to the amount of risk which the </w:t>
      </w:r>
      <w:r w:rsidR="00D624E9" w:rsidRPr="00650CDF">
        <w:rPr>
          <w:rFonts w:ascii="Arial" w:hAnsi="Arial" w:cs="Arial"/>
          <w:sz w:val="24"/>
          <w:szCs w:val="24"/>
        </w:rPr>
        <w:t>Group</w:t>
      </w:r>
      <w:r w:rsidR="00DD67F0" w:rsidRPr="00650CDF">
        <w:rPr>
          <w:rFonts w:ascii="Arial" w:hAnsi="Arial" w:cs="Arial"/>
          <w:sz w:val="24"/>
          <w:szCs w:val="24"/>
        </w:rPr>
        <w:t xml:space="preserve"> is prepared to accept, tolerate, or be exposed to at any point in time. </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Pr="00650CDF" w:rsidRDefault="00194BAB"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2.6</w:t>
      </w:r>
      <w:r w:rsidR="00D624E9" w:rsidRPr="00650CDF">
        <w:rPr>
          <w:rFonts w:ascii="Arial" w:hAnsi="Arial" w:cs="Arial"/>
          <w:sz w:val="24"/>
          <w:szCs w:val="24"/>
        </w:rPr>
        <w:tab/>
      </w:r>
      <w:r w:rsidRPr="00650CDF">
        <w:rPr>
          <w:rFonts w:ascii="Arial" w:hAnsi="Arial" w:cs="Arial"/>
          <w:sz w:val="24"/>
          <w:szCs w:val="24"/>
        </w:rPr>
        <w:t>For the purposes of this Policy ‘</w:t>
      </w:r>
      <w:r w:rsidR="00DD67F0" w:rsidRPr="00650CDF">
        <w:rPr>
          <w:rFonts w:ascii="Arial" w:hAnsi="Arial" w:cs="Arial"/>
          <w:sz w:val="24"/>
          <w:szCs w:val="24"/>
        </w:rPr>
        <w:t>Risk Management</w:t>
      </w:r>
      <w:r w:rsidRPr="00650CDF">
        <w:rPr>
          <w:rFonts w:ascii="Arial" w:hAnsi="Arial" w:cs="Arial"/>
          <w:sz w:val="24"/>
          <w:szCs w:val="24"/>
        </w:rPr>
        <w:t>’</w:t>
      </w:r>
      <w:r w:rsidR="00DD67F0" w:rsidRPr="00650CDF">
        <w:rPr>
          <w:rFonts w:ascii="Arial" w:hAnsi="Arial" w:cs="Arial"/>
          <w:sz w:val="24"/>
          <w:szCs w:val="24"/>
        </w:rPr>
        <w:t xml:space="preserve"> is the process by which:</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Pr="00650CDF" w:rsidRDefault="00DD67F0" w:rsidP="00650CDF">
      <w:pPr>
        <w:pStyle w:val="ListParagraph"/>
        <w:numPr>
          <w:ilvl w:val="0"/>
          <w:numId w:val="1"/>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Risks are identified in relation to the achievement of objectives.</w:t>
      </w:r>
    </w:p>
    <w:p w:rsidR="00DD67F0" w:rsidRPr="00650CDF" w:rsidRDefault="00DD67F0" w:rsidP="00650CDF">
      <w:pPr>
        <w:pStyle w:val="ListParagraph"/>
        <w:numPr>
          <w:ilvl w:val="0"/>
          <w:numId w:val="1"/>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lastRenderedPageBreak/>
        <w:t>Risks are assessed by reference to their relative likelihood and impact.</w:t>
      </w:r>
    </w:p>
    <w:p w:rsidR="00DD67F0" w:rsidRPr="00650CDF" w:rsidRDefault="00DD67F0" w:rsidP="00650CDF">
      <w:pPr>
        <w:pStyle w:val="ListParagraph"/>
        <w:numPr>
          <w:ilvl w:val="0"/>
          <w:numId w:val="1"/>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The identified risks are responded to, taking into account the organisation’s assessment and tolerance.</w:t>
      </w:r>
    </w:p>
    <w:p w:rsidR="00DD67F0" w:rsidRPr="00650CDF" w:rsidRDefault="00DD67F0" w:rsidP="00650CDF">
      <w:pPr>
        <w:pStyle w:val="ListParagraph"/>
        <w:numPr>
          <w:ilvl w:val="0"/>
          <w:numId w:val="1"/>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Risks are reviewed and reported – to ensure the risk register is up to date, to gain assurance that responses are effective, and identify when further action is necessary.</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Pr="00650CDF" w:rsidRDefault="00194BAB"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2.7</w:t>
      </w:r>
      <w:r w:rsidR="00D624E9" w:rsidRPr="00650CDF">
        <w:rPr>
          <w:rFonts w:ascii="Arial" w:hAnsi="Arial" w:cs="Arial"/>
          <w:sz w:val="24"/>
          <w:szCs w:val="24"/>
        </w:rPr>
        <w:tab/>
      </w:r>
      <w:r w:rsidR="00DD67F0" w:rsidRPr="00650CDF">
        <w:rPr>
          <w:rFonts w:ascii="Arial" w:hAnsi="Arial" w:cs="Arial"/>
          <w:sz w:val="24"/>
          <w:szCs w:val="24"/>
        </w:rPr>
        <w:t>The aims of Risk Management are:</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Pr="00650CDF" w:rsidRDefault="00DD67F0"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To take a proactive approach, anticipating and influencing events before they happen.</w:t>
      </w:r>
    </w:p>
    <w:p w:rsidR="00DD67F0" w:rsidRPr="00650CDF" w:rsidRDefault="00DD67F0"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To facilitate better informed decision making.</w:t>
      </w:r>
    </w:p>
    <w:p w:rsidR="00DD67F0" w:rsidRPr="00650CDF" w:rsidRDefault="00DD67F0"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To improve contingency planning.</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2.</w:t>
      </w:r>
      <w:r w:rsidR="00650CDF">
        <w:rPr>
          <w:rFonts w:ascii="Arial" w:hAnsi="Arial" w:cs="Arial"/>
          <w:sz w:val="24"/>
          <w:szCs w:val="24"/>
        </w:rPr>
        <w:t>8</w:t>
      </w:r>
      <w:r w:rsidRPr="00650CDF">
        <w:rPr>
          <w:rFonts w:ascii="Arial" w:hAnsi="Arial" w:cs="Arial"/>
          <w:sz w:val="24"/>
          <w:szCs w:val="24"/>
        </w:rPr>
        <w:tab/>
      </w:r>
      <w:r w:rsidR="00DD67F0" w:rsidRPr="00650CDF">
        <w:rPr>
          <w:rFonts w:ascii="Arial" w:hAnsi="Arial" w:cs="Arial"/>
          <w:sz w:val="24"/>
          <w:szCs w:val="24"/>
        </w:rPr>
        <w:t xml:space="preserve">The </w:t>
      </w:r>
      <w:r w:rsidR="002070F2">
        <w:rPr>
          <w:rFonts w:ascii="Arial" w:hAnsi="Arial" w:cs="Arial"/>
          <w:sz w:val="24"/>
          <w:szCs w:val="24"/>
        </w:rPr>
        <w:t>Group</w:t>
      </w:r>
      <w:r w:rsidR="00DD67F0" w:rsidRPr="00650CDF">
        <w:rPr>
          <w:rFonts w:ascii="Arial" w:hAnsi="Arial" w:cs="Arial"/>
          <w:sz w:val="24"/>
          <w:szCs w:val="24"/>
        </w:rPr>
        <w:t>’s approach to Risk Management is based around assessment, evaluation, management and measurement, as follows:</w:t>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D67F0" w:rsidRPr="00650CDF" w:rsidRDefault="00DD67F0"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noProof/>
          <w:sz w:val="24"/>
          <w:szCs w:val="24"/>
          <w:lang w:eastAsia="en-GB"/>
        </w:rPr>
        <w:drawing>
          <wp:inline distT="0" distB="0" distL="0" distR="0" wp14:anchorId="2813D804" wp14:editId="1C52C84E">
            <wp:extent cx="5486400" cy="3200400"/>
            <wp:effectExtent l="0" t="0" r="19050" b="0"/>
            <wp:docPr id="300" name="Diagram 3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D67F0" w:rsidRPr="00650CDF" w:rsidRDefault="00DD67F0" w:rsidP="00650CDF">
      <w:pPr>
        <w:autoSpaceDE w:val="0"/>
        <w:autoSpaceDN w:val="0"/>
        <w:adjustRightInd w:val="0"/>
        <w:spacing w:after="0" w:line="240" w:lineRule="auto"/>
        <w:jc w:val="both"/>
        <w:rPr>
          <w:rFonts w:ascii="Arial" w:hAnsi="Arial" w:cs="Arial"/>
          <w:sz w:val="24"/>
          <w:szCs w:val="24"/>
        </w:rPr>
      </w:pPr>
    </w:p>
    <w:p w:rsidR="00D624E9"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2.</w:t>
      </w:r>
      <w:r w:rsidR="00650CDF">
        <w:rPr>
          <w:rFonts w:ascii="Arial" w:hAnsi="Arial" w:cs="Arial"/>
          <w:sz w:val="24"/>
          <w:szCs w:val="24"/>
        </w:rPr>
        <w:t>8</w:t>
      </w:r>
      <w:r w:rsidRPr="00650CDF">
        <w:rPr>
          <w:rFonts w:ascii="Arial" w:hAnsi="Arial" w:cs="Arial"/>
          <w:sz w:val="24"/>
          <w:szCs w:val="24"/>
        </w:rPr>
        <w:tab/>
      </w:r>
      <w:r w:rsidR="00DD67F0" w:rsidRPr="00650CDF">
        <w:rPr>
          <w:rFonts w:ascii="Arial" w:hAnsi="Arial" w:cs="Arial"/>
          <w:sz w:val="24"/>
          <w:szCs w:val="24"/>
        </w:rPr>
        <w:t>It is essential that the risk management process is intertwined with other operatin</w:t>
      </w:r>
      <w:r w:rsidR="002070F2">
        <w:rPr>
          <w:rFonts w:ascii="Arial" w:hAnsi="Arial" w:cs="Arial"/>
          <w:sz w:val="24"/>
          <w:szCs w:val="24"/>
        </w:rPr>
        <w:t>g activities and permeates the Group</w:t>
      </w:r>
      <w:r w:rsidR="00DD67F0" w:rsidRPr="00650CDF">
        <w:rPr>
          <w:rFonts w:ascii="Arial" w:hAnsi="Arial" w:cs="Arial"/>
          <w:sz w:val="24"/>
          <w:szCs w:val="24"/>
        </w:rPr>
        <w:t xml:space="preserve">’s management and operations. </w:t>
      </w:r>
    </w:p>
    <w:p w:rsidR="00D624E9"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p>
    <w:p w:rsidR="00D624E9" w:rsidRPr="00650CDF" w:rsidRDefault="00194BAB"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2.</w:t>
      </w:r>
      <w:r w:rsidR="00650CDF">
        <w:rPr>
          <w:rFonts w:ascii="Arial" w:hAnsi="Arial" w:cs="Arial"/>
          <w:sz w:val="24"/>
          <w:szCs w:val="24"/>
        </w:rPr>
        <w:t>9</w:t>
      </w:r>
      <w:r w:rsidRPr="00650CDF">
        <w:rPr>
          <w:rFonts w:ascii="Arial" w:hAnsi="Arial" w:cs="Arial"/>
          <w:sz w:val="24"/>
          <w:szCs w:val="24"/>
        </w:rPr>
        <w:tab/>
        <w:t xml:space="preserve">A full list of definitions relating to risk management are outlined within </w:t>
      </w:r>
      <w:r w:rsidRPr="00650CDF">
        <w:rPr>
          <w:rFonts w:ascii="Arial" w:hAnsi="Arial" w:cs="Arial"/>
          <w:b/>
          <w:sz w:val="24"/>
          <w:szCs w:val="24"/>
        </w:rPr>
        <w:t>Appendix 1</w:t>
      </w:r>
      <w:r w:rsidRPr="00650CDF">
        <w:rPr>
          <w:rFonts w:ascii="Arial" w:hAnsi="Arial" w:cs="Arial"/>
          <w:sz w:val="24"/>
          <w:szCs w:val="24"/>
        </w:rPr>
        <w:t xml:space="preserve"> of this Policy.</w:t>
      </w:r>
    </w:p>
    <w:p w:rsidR="00D624E9"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p>
    <w:p w:rsidR="0052788A" w:rsidRDefault="0052788A">
      <w:pPr>
        <w:rPr>
          <w:rFonts w:ascii="Arial" w:hAnsi="Arial" w:cs="Arial"/>
          <w:sz w:val="24"/>
          <w:szCs w:val="24"/>
        </w:rPr>
      </w:pPr>
      <w:r>
        <w:rPr>
          <w:rFonts w:ascii="Arial" w:hAnsi="Arial" w:cs="Arial"/>
          <w:sz w:val="24"/>
          <w:szCs w:val="24"/>
        </w:rPr>
        <w:br w:type="page"/>
      </w:r>
    </w:p>
    <w:p w:rsidR="00D624E9"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p>
    <w:p w:rsidR="00D624E9" w:rsidRPr="00650CDF" w:rsidRDefault="00D624E9" w:rsidP="00650CDF">
      <w:pPr>
        <w:pStyle w:val="Heading2"/>
        <w:numPr>
          <w:ilvl w:val="0"/>
          <w:numId w:val="5"/>
        </w:numPr>
        <w:spacing w:before="0"/>
        <w:jc w:val="both"/>
        <w:rPr>
          <w:rFonts w:ascii="Arial" w:hAnsi="Arial" w:cs="Arial"/>
          <w:noProof/>
          <w:sz w:val="24"/>
          <w:szCs w:val="24"/>
          <w:lang w:eastAsia="en-GB"/>
        </w:rPr>
      </w:pPr>
      <w:bookmarkStart w:id="4" w:name="_Toc414377652"/>
      <w:bookmarkStart w:id="5" w:name="_Toc479768222"/>
      <w:r w:rsidRPr="00650CDF">
        <w:rPr>
          <w:rFonts w:ascii="Arial" w:hAnsi="Arial" w:cs="Arial"/>
          <w:noProof/>
          <w:sz w:val="24"/>
          <w:szCs w:val="24"/>
          <w:lang w:eastAsia="en-GB"/>
        </w:rPr>
        <w:t>Scoring Methodology for the Assessment and Prioritisation of Risk</w:t>
      </w:r>
      <w:bookmarkEnd w:id="4"/>
      <w:bookmarkEnd w:id="5"/>
    </w:p>
    <w:p w:rsidR="00D624E9" w:rsidRPr="00650CDF" w:rsidRDefault="00D624E9" w:rsidP="00650CDF">
      <w:pPr>
        <w:autoSpaceDE w:val="0"/>
        <w:autoSpaceDN w:val="0"/>
        <w:adjustRightInd w:val="0"/>
        <w:spacing w:after="0" w:line="240" w:lineRule="auto"/>
        <w:jc w:val="both"/>
        <w:rPr>
          <w:rFonts w:ascii="Arial" w:hAnsi="Arial" w:cs="Arial"/>
          <w:sz w:val="24"/>
          <w:szCs w:val="24"/>
        </w:rPr>
      </w:pPr>
    </w:p>
    <w:p w:rsidR="00014AB8"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lastRenderedPageBreak/>
        <w:t>3.1</w:t>
      </w:r>
      <w:r w:rsidR="00014AB8" w:rsidRPr="00650CDF">
        <w:rPr>
          <w:rFonts w:ascii="Arial" w:hAnsi="Arial" w:cs="Arial"/>
          <w:sz w:val="24"/>
          <w:szCs w:val="24"/>
        </w:rPr>
        <w:tab/>
        <w:t>The Group recognises that it faces risks from a wide variety of sources which includes:</w:t>
      </w:r>
    </w:p>
    <w:p w:rsidR="00014AB8" w:rsidRPr="00650CDF" w:rsidRDefault="00014AB8" w:rsidP="00650CDF">
      <w:pPr>
        <w:autoSpaceDE w:val="0"/>
        <w:autoSpaceDN w:val="0"/>
        <w:adjustRightInd w:val="0"/>
        <w:spacing w:after="0" w:line="240" w:lineRule="auto"/>
        <w:ind w:left="720" w:hanging="720"/>
        <w:jc w:val="both"/>
        <w:rPr>
          <w:rFonts w:ascii="Arial" w:hAnsi="Arial" w:cs="Arial"/>
          <w:sz w:val="24"/>
          <w:szCs w:val="24"/>
        </w:rPr>
      </w:pP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Government Policy impacting on the Group’s businesses.</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Economic environment affecting viability.</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Demographic change affecting demand for services.</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Market forces affecting the Group’s businesses.</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Operational resources (rents, lettings and effects of Welfare Reform).</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Ensuring financial and treasury management meets all business requirements.</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The need to keep pace with changes in information technology.</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Natural, environmental and ecological matters.</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Fraud and error.</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Negative publicity.</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Failure to comply with legislation.</w:t>
      </w:r>
    </w:p>
    <w:p w:rsidR="00014AB8" w:rsidRPr="00650CDF" w:rsidRDefault="00014AB8" w:rsidP="00650CDF">
      <w:pPr>
        <w:autoSpaceDE w:val="0"/>
        <w:autoSpaceDN w:val="0"/>
        <w:adjustRightInd w:val="0"/>
        <w:spacing w:after="0" w:line="240" w:lineRule="auto"/>
        <w:ind w:left="720" w:hanging="720"/>
        <w:jc w:val="both"/>
        <w:rPr>
          <w:rFonts w:ascii="Arial" w:hAnsi="Arial" w:cs="Arial"/>
          <w:sz w:val="24"/>
          <w:szCs w:val="24"/>
        </w:rPr>
      </w:pPr>
    </w:p>
    <w:p w:rsidR="00D624E9" w:rsidRDefault="00014AB8"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3.2</w:t>
      </w:r>
      <w:r w:rsidRPr="00650CDF">
        <w:rPr>
          <w:rFonts w:ascii="Arial" w:hAnsi="Arial" w:cs="Arial"/>
          <w:sz w:val="24"/>
          <w:szCs w:val="24"/>
        </w:rPr>
        <w:tab/>
      </w:r>
      <w:r w:rsidR="00D624E9" w:rsidRPr="00650CDF">
        <w:rPr>
          <w:rFonts w:ascii="Arial" w:hAnsi="Arial" w:cs="Arial"/>
          <w:sz w:val="24"/>
          <w:szCs w:val="24"/>
        </w:rPr>
        <w:t xml:space="preserve">The scoring methodology for the assessment and prioritisation of risk is applied consistently to all risks so that the </w:t>
      </w:r>
      <w:r w:rsidR="002070F2">
        <w:rPr>
          <w:rFonts w:ascii="Arial" w:hAnsi="Arial" w:cs="Arial"/>
          <w:sz w:val="24"/>
          <w:szCs w:val="24"/>
        </w:rPr>
        <w:t>Group</w:t>
      </w:r>
      <w:r w:rsidR="00D624E9" w:rsidRPr="00650CDF">
        <w:rPr>
          <w:rFonts w:ascii="Arial" w:hAnsi="Arial" w:cs="Arial"/>
          <w:sz w:val="24"/>
          <w:szCs w:val="24"/>
        </w:rPr>
        <w:t xml:space="preserve">’s resources are directed to those risks which have the highest score and, therefore, present the greatest threat to the </w:t>
      </w:r>
      <w:r w:rsidR="002070F2">
        <w:rPr>
          <w:rFonts w:ascii="Arial" w:hAnsi="Arial" w:cs="Arial"/>
          <w:sz w:val="24"/>
          <w:szCs w:val="24"/>
        </w:rPr>
        <w:t>Group</w:t>
      </w:r>
      <w:r w:rsidR="00D624E9" w:rsidRPr="00650CDF">
        <w:rPr>
          <w:rFonts w:ascii="Arial" w:hAnsi="Arial" w:cs="Arial"/>
          <w:sz w:val="24"/>
          <w:szCs w:val="24"/>
        </w:rPr>
        <w:t xml:space="preserve">’s operations. </w:t>
      </w:r>
    </w:p>
    <w:p w:rsidR="00650CDF" w:rsidRPr="00650CDF" w:rsidRDefault="00650CDF" w:rsidP="00650CDF">
      <w:pPr>
        <w:autoSpaceDE w:val="0"/>
        <w:autoSpaceDN w:val="0"/>
        <w:adjustRightInd w:val="0"/>
        <w:spacing w:after="0" w:line="240" w:lineRule="auto"/>
        <w:ind w:left="720" w:hanging="720"/>
        <w:jc w:val="both"/>
        <w:rPr>
          <w:rFonts w:ascii="Arial" w:hAnsi="Arial" w:cs="Arial"/>
          <w:sz w:val="24"/>
          <w:szCs w:val="24"/>
        </w:rPr>
      </w:pPr>
    </w:p>
    <w:p w:rsidR="00014AB8" w:rsidRPr="00650CDF" w:rsidRDefault="00014AB8"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3.3</w:t>
      </w:r>
      <w:r w:rsidRPr="00650CDF">
        <w:rPr>
          <w:rFonts w:ascii="Arial" w:hAnsi="Arial" w:cs="Arial"/>
          <w:sz w:val="24"/>
          <w:szCs w:val="24"/>
        </w:rPr>
        <w:tab/>
        <w:t>Members of the Executive and Senior Management Teams will be regarded as Risk Owners and allocated specific responsibility for the identification, assessment, control and management or risk. These Officers will have responsibility to ensure that within their service areas they:</w:t>
      </w:r>
    </w:p>
    <w:p w:rsidR="00014AB8" w:rsidRPr="00650CDF" w:rsidRDefault="00014AB8" w:rsidP="00650CDF">
      <w:pPr>
        <w:autoSpaceDE w:val="0"/>
        <w:autoSpaceDN w:val="0"/>
        <w:adjustRightInd w:val="0"/>
        <w:spacing w:after="0" w:line="240" w:lineRule="auto"/>
        <w:jc w:val="both"/>
        <w:rPr>
          <w:rFonts w:ascii="Arial" w:hAnsi="Arial" w:cs="Arial"/>
          <w:sz w:val="24"/>
          <w:szCs w:val="24"/>
        </w:rPr>
      </w:pP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Identify, categorise, record and assess all areas of risk.</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Identify and record what management controls and sources of assurance exist. </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Quantify the level and if possible, allocate a financial value to the level or residual risk exposure.</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Record the period in which the risk was first identified and assessed.</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Identify, design and implement the most appropriate action(s)/intervention(s) to reduce/mitigate the risk, so that it can be realigned to that of its target.</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Conduct a periodic re-assessment of each risk to evidence and record the impact that risk mitigation is having upon the residual risk score.</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Continually monitor, review and manage each area of risk.</w:t>
      </w:r>
    </w:p>
    <w:p w:rsidR="00014AB8" w:rsidRPr="00650CDF" w:rsidRDefault="00014AB8" w:rsidP="00650CDF">
      <w:pPr>
        <w:pStyle w:val="ListParagraph"/>
        <w:numPr>
          <w:ilvl w:val="0"/>
          <w:numId w:val="2"/>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Make recommendations to the Govan Housing Association and Govan HOME Team C.I.C, to assist implementation of measures to mitigate and manage risk.</w:t>
      </w:r>
    </w:p>
    <w:p w:rsidR="0052788A" w:rsidRDefault="0052788A">
      <w:pPr>
        <w:rPr>
          <w:rFonts w:ascii="Arial" w:hAnsi="Arial" w:cs="Arial"/>
          <w:sz w:val="24"/>
          <w:szCs w:val="24"/>
        </w:rPr>
      </w:pPr>
      <w:r>
        <w:rPr>
          <w:rFonts w:ascii="Arial" w:hAnsi="Arial" w:cs="Arial"/>
          <w:sz w:val="24"/>
          <w:szCs w:val="24"/>
        </w:rPr>
        <w:br w:type="page"/>
      </w:r>
    </w:p>
    <w:p w:rsidR="00650CDF" w:rsidRPr="00650CDF" w:rsidRDefault="00650CDF" w:rsidP="00650CDF">
      <w:pPr>
        <w:autoSpaceDE w:val="0"/>
        <w:autoSpaceDN w:val="0"/>
        <w:adjustRightInd w:val="0"/>
        <w:spacing w:after="0" w:line="240" w:lineRule="auto"/>
        <w:jc w:val="both"/>
        <w:rPr>
          <w:rFonts w:ascii="Arial" w:hAnsi="Arial" w:cs="Arial"/>
          <w:sz w:val="24"/>
          <w:szCs w:val="24"/>
        </w:rPr>
      </w:pPr>
    </w:p>
    <w:p w:rsidR="00D624E9" w:rsidRPr="00650CDF" w:rsidRDefault="00014AB8"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3.4</w:t>
      </w:r>
      <w:r w:rsidR="002C44C6" w:rsidRPr="00650CDF">
        <w:rPr>
          <w:rFonts w:ascii="Arial" w:hAnsi="Arial" w:cs="Arial"/>
          <w:b/>
          <w:sz w:val="24"/>
          <w:szCs w:val="24"/>
        </w:rPr>
        <w:tab/>
      </w:r>
      <w:r w:rsidR="00D624E9" w:rsidRPr="00650CDF">
        <w:rPr>
          <w:rFonts w:ascii="Arial" w:hAnsi="Arial" w:cs="Arial"/>
          <w:b/>
          <w:sz w:val="24"/>
          <w:szCs w:val="24"/>
        </w:rPr>
        <w:t>Categorising Risk</w:t>
      </w:r>
    </w:p>
    <w:p w:rsidR="00D624E9" w:rsidRPr="00650CDF" w:rsidRDefault="00D624E9" w:rsidP="00650CDF">
      <w:pPr>
        <w:autoSpaceDE w:val="0"/>
        <w:autoSpaceDN w:val="0"/>
        <w:adjustRightInd w:val="0"/>
        <w:spacing w:after="0" w:line="240" w:lineRule="auto"/>
        <w:jc w:val="both"/>
        <w:rPr>
          <w:rFonts w:ascii="Arial" w:hAnsi="Arial" w:cs="Arial"/>
          <w:b/>
          <w:sz w:val="24"/>
          <w:szCs w:val="24"/>
        </w:rPr>
      </w:pPr>
    </w:p>
    <w:p w:rsidR="00D624E9" w:rsidRPr="00650CDF" w:rsidRDefault="00DC0CC1" w:rsidP="00650CDF">
      <w:pPr>
        <w:autoSpaceDE w:val="0"/>
        <w:autoSpaceDN w:val="0"/>
        <w:adjustRightInd w:val="0"/>
        <w:spacing w:after="0" w:line="240" w:lineRule="auto"/>
        <w:ind w:left="720"/>
        <w:jc w:val="both"/>
        <w:rPr>
          <w:rFonts w:ascii="Arial" w:hAnsi="Arial" w:cs="Arial"/>
          <w:sz w:val="24"/>
          <w:szCs w:val="24"/>
        </w:rPr>
      </w:pPr>
      <w:r w:rsidRPr="00650CDF">
        <w:rPr>
          <w:rFonts w:ascii="Arial" w:hAnsi="Arial" w:cs="Arial"/>
          <w:sz w:val="24"/>
          <w:szCs w:val="24"/>
        </w:rPr>
        <w:t xml:space="preserve">The Group will ensure that all of its risks are categorised. </w:t>
      </w:r>
      <w:r w:rsidR="00D624E9" w:rsidRPr="00650CDF">
        <w:rPr>
          <w:rFonts w:ascii="Arial" w:hAnsi="Arial" w:cs="Arial"/>
          <w:sz w:val="24"/>
          <w:szCs w:val="24"/>
        </w:rPr>
        <w:t xml:space="preserve">The risk categories are intended to provide a means of grouping related risks within the risk register document, as risks are commonly not entirely independent from each other. </w:t>
      </w:r>
      <w:r w:rsidRPr="00650CDF">
        <w:rPr>
          <w:rFonts w:ascii="Arial" w:hAnsi="Arial" w:cs="Arial"/>
          <w:sz w:val="24"/>
          <w:szCs w:val="24"/>
        </w:rPr>
        <w:t xml:space="preserve">This </w:t>
      </w:r>
      <w:r w:rsidRPr="00650CDF">
        <w:rPr>
          <w:rFonts w:ascii="Arial" w:hAnsi="Arial" w:cs="Arial"/>
          <w:sz w:val="24"/>
          <w:szCs w:val="24"/>
        </w:rPr>
        <w:lastRenderedPageBreak/>
        <w:t xml:space="preserve">also has the aim of facilitating a structured approach to the overall risk management activities and enhancing risk reporting processes. </w:t>
      </w:r>
    </w:p>
    <w:p w:rsidR="00D624E9" w:rsidRPr="00650CDF" w:rsidRDefault="00D624E9" w:rsidP="00650CDF">
      <w:pPr>
        <w:autoSpaceDE w:val="0"/>
        <w:autoSpaceDN w:val="0"/>
        <w:adjustRightInd w:val="0"/>
        <w:spacing w:after="0" w:line="240" w:lineRule="auto"/>
        <w:jc w:val="both"/>
        <w:rPr>
          <w:rFonts w:ascii="Arial" w:hAnsi="Arial" w:cs="Arial"/>
          <w:sz w:val="24"/>
          <w:szCs w:val="24"/>
        </w:rPr>
      </w:pPr>
    </w:p>
    <w:p w:rsidR="00D624E9" w:rsidRPr="00650CDF" w:rsidRDefault="00DC0CC1"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3.5</w:t>
      </w:r>
      <w:r w:rsidRPr="00650CDF">
        <w:rPr>
          <w:rFonts w:ascii="Arial" w:hAnsi="Arial" w:cs="Arial"/>
          <w:sz w:val="24"/>
          <w:szCs w:val="24"/>
        </w:rPr>
        <w:tab/>
      </w:r>
      <w:r w:rsidR="00D624E9" w:rsidRPr="00650CDF">
        <w:rPr>
          <w:rFonts w:ascii="Arial" w:hAnsi="Arial" w:cs="Arial"/>
          <w:sz w:val="24"/>
          <w:szCs w:val="24"/>
        </w:rPr>
        <w:t>The main risk categories are:</w:t>
      </w:r>
    </w:p>
    <w:p w:rsidR="00D624E9" w:rsidRPr="00650CDF" w:rsidRDefault="00D624E9" w:rsidP="00650CDF">
      <w:pPr>
        <w:autoSpaceDE w:val="0"/>
        <w:autoSpaceDN w:val="0"/>
        <w:adjustRightInd w:val="0"/>
        <w:spacing w:after="0" w:line="240" w:lineRule="auto"/>
        <w:jc w:val="both"/>
        <w:rPr>
          <w:rFonts w:ascii="Arial" w:hAnsi="Arial" w:cs="Arial"/>
          <w:sz w:val="24"/>
          <w:szCs w:val="24"/>
        </w:rPr>
      </w:pPr>
    </w:p>
    <w:p w:rsidR="00D624E9" w:rsidRPr="00650CDF" w:rsidRDefault="00D624E9"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b/>
          <w:sz w:val="24"/>
          <w:szCs w:val="24"/>
        </w:rPr>
        <w:t>External</w:t>
      </w:r>
      <w:r w:rsidRPr="00650CDF">
        <w:rPr>
          <w:rFonts w:ascii="Arial" w:hAnsi="Arial" w:cs="Arial"/>
          <w:sz w:val="24"/>
          <w:szCs w:val="24"/>
        </w:rPr>
        <w:t xml:space="preserve"> – arising from the external environment, not wholly within the </w:t>
      </w:r>
      <w:r w:rsidR="002070F2">
        <w:rPr>
          <w:rFonts w:ascii="Arial" w:hAnsi="Arial" w:cs="Arial"/>
          <w:sz w:val="24"/>
          <w:szCs w:val="24"/>
        </w:rPr>
        <w:t>Group</w:t>
      </w:r>
      <w:r w:rsidRPr="00650CDF">
        <w:rPr>
          <w:rFonts w:ascii="Arial" w:hAnsi="Arial" w:cs="Arial"/>
          <w:sz w:val="24"/>
          <w:szCs w:val="24"/>
        </w:rPr>
        <w:t>’s control but where action can be taken to mitigate the risk.</w:t>
      </w:r>
    </w:p>
    <w:p w:rsidR="00D624E9" w:rsidRPr="00650CDF" w:rsidRDefault="00D624E9"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b/>
          <w:sz w:val="24"/>
          <w:szCs w:val="24"/>
        </w:rPr>
        <w:t>Operational</w:t>
      </w:r>
      <w:r w:rsidRPr="00650CDF">
        <w:rPr>
          <w:rFonts w:ascii="Arial" w:hAnsi="Arial" w:cs="Arial"/>
          <w:sz w:val="24"/>
          <w:szCs w:val="24"/>
        </w:rPr>
        <w:t xml:space="preserve"> – relating to the successful execution of existing operations – both current delivery and building and maintaining capacity and capability.</w:t>
      </w:r>
    </w:p>
    <w:p w:rsidR="00D624E9" w:rsidRPr="00650CDF" w:rsidRDefault="00D624E9"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b/>
          <w:sz w:val="24"/>
          <w:szCs w:val="24"/>
        </w:rPr>
        <w:t>Change</w:t>
      </w:r>
      <w:r w:rsidRPr="00650CDF">
        <w:rPr>
          <w:rFonts w:ascii="Arial" w:hAnsi="Arial" w:cs="Arial"/>
          <w:sz w:val="24"/>
          <w:szCs w:val="24"/>
        </w:rPr>
        <w:t xml:space="preserve"> – risks created by decisions to pursue new endeavours beyond current capacity.</w:t>
      </w:r>
    </w:p>
    <w:p w:rsidR="00D624E9" w:rsidRPr="00650CDF" w:rsidRDefault="00D624E9" w:rsidP="00650CDF">
      <w:pPr>
        <w:autoSpaceDE w:val="0"/>
        <w:autoSpaceDN w:val="0"/>
        <w:adjustRightInd w:val="0"/>
        <w:spacing w:after="0" w:line="240" w:lineRule="auto"/>
        <w:jc w:val="both"/>
        <w:rPr>
          <w:rFonts w:ascii="Arial" w:hAnsi="Arial" w:cs="Arial"/>
          <w:b/>
          <w:sz w:val="24"/>
          <w:szCs w:val="24"/>
        </w:rPr>
      </w:pPr>
    </w:p>
    <w:p w:rsidR="00D624E9" w:rsidRPr="00650CDF" w:rsidRDefault="00D624E9" w:rsidP="00650CDF">
      <w:pPr>
        <w:autoSpaceDE w:val="0"/>
        <w:autoSpaceDN w:val="0"/>
        <w:adjustRightInd w:val="0"/>
        <w:spacing w:after="0" w:line="240" w:lineRule="auto"/>
        <w:ind w:firstLine="720"/>
        <w:jc w:val="both"/>
        <w:rPr>
          <w:rFonts w:ascii="Arial" w:hAnsi="Arial" w:cs="Arial"/>
          <w:sz w:val="24"/>
          <w:szCs w:val="24"/>
        </w:rPr>
      </w:pPr>
      <w:r w:rsidRPr="00650CDF">
        <w:rPr>
          <w:rFonts w:ascii="Arial" w:hAnsi="Arial" w:cs="Arial"/>
          <w:sz w:val="24"/>
          <w:szCs w:val="24"/>
        </w:rPr>
        <w:t>Examples of categories include:</w:t>
      </w:r>
    </w:p>
    <w:p w:rsidR="00D624E9" w:rsidRPr="00650CDF" w:rsidRDefault="00D624E9" w:rsidP="00650CDF">
      <w:pPr>
        <w:autoSpaceDE w:val="0"/>
        <w:autoSpaceDN w:val="0"/>
        <w:adjustRightInd w:val="0"/>
        <w:spacing w:after="0" w:line="240" w:lineRule="auto"/>
        <w:jc w:val="both"/>
        <w:rPr>
          <w:rFonts w:ascii="Arial" w:hAnsi="Arial" w:cs="Arial"/>
          <w:sz w:val="24"/>
          <w:szCs w:val="24"/>
        </w:rPr>
      </w:pPr>
    </w:p>
    <w:p w:rsidR="00D624E9" w:rsidRPr="00650CDF" w:rsidRDefault="00D624E9"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b/>
          <w:sz w:val="24"/>
          <w:szCs w:val="24"/>
        </w:rPr>
        <w:t>External</w:t>
      </w:r>
      <w:r w:rsidRPr="00650CDF">
        <w:rPr>
          <w:rFonts w:ascii="Arial" w:hAnsi="Arial" w:cs="Arial"/>
          <w:sz w:val="24"/>
          <w:szCs w:val="24"/>
        </w:rPr>
        <w:t xml:space="preserve"> – Political, Economic, Social Cultural, Technological, Legal, Environmental, Regulatory.</w:t>
      </w:r>
    </w:p>
    <w:p w:rsidR="00D624E9" w:rsidRPr="00650CDF" w:rsidRDefault="00D624E9"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b/>
          <w:sz w:val="24"/>
          <w:szCs w:val="24"/>
        </w:rPr>
        <w:t>Operational</w:t>
      </w:r>
      <w:r w:rsidRPr="00650CDF">
        <w:rPr>
          <w:rFonts w:ascii="Arial" w:hAnsi="Arial" w:cs="Arial"/>
          <w:sz w:val="24"/>
          <w:szCs w:val="24"/>
        </w:rPr>
        <w:t xml:space="preserve"> – Delivery, Capacity, Capability.</w:t>
      </w:r>
    </w:p>
    <w:p w:rsidR="00D624E9" w:rsidRPr="00650CDF" w:rsidRDefault="00D624E9"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b/>
          <w:sz w:val="24"/>
          <w:szCs w:val="24"/>
        </w:rPr>
        <w:t>Change</w:t>
      </w:r>
      <w:r w:rsidRPr="00650CDF">
        <w:rPr>
          <w:rFonts w:ascii="Arial" w:hAnsi="Arial" w:cs="Arial"/>
          <w:sz w:val="24"/>
          <w:szCs w:val="24"/>
        </w:rPr>
        <w:t xml:space="preserve"> – New projects, Policies, Change programmes.</w:t>
      </w:r>
    </w:p>
    <w:p w:rsidR="00D624E9" w:rsidRPr="00650CDF" w:rsidRDefault="00D624E9" w:rsidP="00650CDF">
      <w:pPr>
        <w:autoSpaceDE w:val="0"/>
        <w:autoSpaceDN w:val="0"/>
        <w:adjustRightInd w:val="0"/>
        <w:spacing w:after="0" w:line="240" w:lineRule="auto"/>
        <w:jc w:val="both"/>
        <w:rPr>
          <w:rFonts w:ascii="Arial" w:hAnsi="Arial" w:cs="Arial"/>
          <w:b/>
          <w:sz w:val="24"/>
          <w:szCs w:val="24"/>
        </w:rPr>
      </w:pPr>
    </w:p>
    <w:p w:rsidR="00D624E9" w:rsidRPr="00650CDF" w:rsidRDefault="00DC0CC1"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3.6</w:t>
      </w:r>
      <w:r w:rsidRPr="00650CDF">
        <w:rPr>
          <w:rFonts w:ascii="Arial" w:hAnsi="Arial" w:cs="Arial"/>
          <w:sz w:val="24"/>
          <w:szCs w:val="24"/>
        </w:rPr>
        <w:tab/>
      </w:r>
      <w:r w:rsidR="00D624E9" w:rsidRPr="00650CDF">
        <w:rPr>
          <w:rFonts w:ascii="Arial" w:hAnsi="Arial" w:cs="Arial"/>
          <w:b/>
          <w:sz w:val="24"/>
          <w:szCs w:val="24"/>
        </w:rPr>
        <w:t>Assessing Risks</w:t>
      </w:r>
    </w:p>
    <w:p w:rsidR="00D624E9" w:rsidRPr="00650CDF" w:rsidRDefault="00D624E9" w:rsidP="00650CDF">
      <w:pPr>
        <w:autoSpaceDE w:val="0"/>
        <w:autoSpaceDN w:val="0"/>
        <w:adjustRightInd w:val="0"/>
        <w:spacing w:after="0" w:line="240" w:lineRule="auto"/>
        <w:jc w:val="both"/>
        <w:rPr>
          <w:rFonts w:ascii="Arial" w:hAnsi="Arial" w:cs="Arial"/>
          <w:b/>
          <w:sz w:val="24"/>
          <w:szCs w:val="24"/>
        </w:rPr>
      </w:pPr>
    </w:p>
    <w:p w:rsidR="00DC0CC1" w:rsidRPr="00650CDF" w:rsidRDefault="00DC0CC1" w:rsidP="00650CDF">
      <w:pPr>
        <w:autoSpaceDE w:val="0"/>
        <w:autoSpaceDN w:val="0"/>
        <w:adjustRightInd w:val="0"/>
        <w:spacing w:after="0" w:line="240" w:lineRule="auto"/>
        <w:ind w:left="720"/>
        <w:jc w:val="both"/>
        <w:rPr>
          <w:rFonts w:ascii="Arial" w:hAnsi="Arial" w:cs="Arial"/>
          <w:sz w:val="24"/>
          <w:szCs w:val="24"/>
        </w:rPr>
      </w:pPr>
      <w:r w:rsidRPr="00650CDF">
        <w:rPr>
          <w:rFonts w:ascii="Arial" w:hAnsi="Arial" w:cs="Arial"/>
          <w:sz w:val="24"/>
          <w:szCs w:val="24"/>
        </w:rPr>
        <w:t>The accurate and timely identification, assessment and reassessment of risk(s) is a critical activity endorsed within this Policy as is the communication of these risks within and where relevant externally to the Group.</w:t>
      </w:r>
    </w:p>
    <w:p w:rsidR="00DC0CC1" w:rsidRPr="00650CDF" w:rsidRDefault="00DC0CC1" w:rsidP="00650CDF">
      <w:pPr>
        <w:autoSpaceDE w:val="0"/>
        <w:autoSpaceDN w:val="0"/>
        <w:adjustRightInd w:val="0"/>
        <w:spacing w:after="0" w:line="240" w:lineRule="auto"/>
        <w:ind w:firstLine="720"/>
        <w:jc w:val="both"/>
        <w:rPr>
          <w:rFonts w:ascii="Arial" w:hAnsi="Arial" w:cs="Arial"/>
          <w:sz w:val="24"/>
          <w:szCs w:val="24"/>
        </w:rPr>
      </w:pPr>
    </w:p>
    <w:p w:rsidR="00DC0CC1" w:rsidRPr="00650CDF" w:rsidRDefault="00DC0CC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3.7</w:t>
      </w:r>
      <w:r w:rsidRPr="00650CDF">
        <w:rPr>
          <w:rFonts w:ascii="Arial" w:hAnsi="Arial" w:cs="Arial"/>
          <w:sz w:val="24"/>
          <w:szCs w:val="24"/>
        </w:rPr>
        <w:tab/>
        <w:t xml:space="preserve">Risk assessment is the process in which risk(s) are scored and ranked. The purpose of which is to determine and identify the most appropriate course of action to take. It is also to ensure that each risk exposure is managed effectively and that key strategic risks are easily and efficiently reported to the Govan Housing Association and Govan HOME Team Board. </w:t>
      </w:r>
    </w:p>
    <w:p w:rsidR="00DC0CC1" w:rsidRPr="00650CDF" w:rsidRDefault="00DC0CC1" w:rsidP="00650CDF">
      <w:pPr>
        <w:autoSpaceDE w:val="0"/>
        <w:autoSpaceDN w:val="0"/>
        <w:adjustRightInd w:val="0"/>
        <w:spacing w:after="0" w:line="240" w:lineRule="auto"/>
        <w:jc w:val="both"/>
        <w:rPr>
          <w:rFonts w:ascii="Arial" w:hAnsi="Arial" w:cs="Arial"/>
          <w:sz w:val="24"/>
          <w:szCs w:val="24"/>
        </w:rPr>
      </w:pPr>
    </w:p>
    <w:p w:rsidR="00DC0CC1" w:rsidRPr="00650CDF" w:rsidRDefault="00DC0CC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3.8</w:t>
      </w:r>
      <w:r w:rsidRPr="00650CDF">
        <w:rPr>
          <w:rFonts w:ascii="Arial" w:hAnsi="Arial" w:cs="Arial"/>
          <w:sz w:val="24"/>
          <w:szCs w:val="24"/>
        </w:rPr>
        <w:tab/>
        <w:t>By scoring and ranking risks, the Groups better able and informed to prioritise its response. It also assists to highlight and bring to the urgent attention of the Executive Management team and the respective Boards, those risks which have the highest Residual Risk scores which by their very nature have a serious or major impact and a high likelihood or very likely probability of occurring.</w:t>
      </w:r>
    </w:p>
    <w:p w:rsidR="00DC0CC1" w:rsidRDefault="00DC0CC1" w:rsidP="00650CDF">
      <w:pPr>
        <w:autoSpaceDE w:val="0"/>
        <w:autoSpaceDN w:val="0"/>
        <w:adjustRightInd w:val="0"/>
        <w:spacing w:after="0" w:line="240" w:lineRule="auto"/>
        <w:jc w:val="both"/>
        <w:rPr>
          <w:rFonts w:ascii="Arial" w:hAnsi="Arial" w:cs="Arial"/>
          <w:sz w:val="24"/>
          <w:szCs w:val="24"/>
        </w:rPr>
      </w:pPr>
    </w:p>
    <w:p w:rsidR="0052788A" w:rsidRDefault="0052788A" w:rsidP="00650CDF">
      <w:pPr>
        <w:autoSpaceDE w:val="0"/>
        <w:autoSpaceDN w:val="0"/>
        <w:adjustRightInd w:val="0"/>
        <w:spacing w:after="0" w:line="240" w:lineRule="auto"/>
        <w:jc w:val="both"/>
        <w:rPr>
          <w:rFonts w:ascii="Arial" w:hAnsi="Arial" w:cs="Arial"/>
          <w:sz w:val="24"/>
          <w:szCs w:val="24"/>
        </w:rPr>
      </w:pPr>
    </w:p>
    <w:p w:rsidR="0052788A" w:rsidRDefault="0052788A" w:rsidP="00650CDF">
      <w:pPr>
        <w:autoSpaceDE w:val="0"/>
        <w:autoSpaceDN w:val="0"/>
        <w:adjustRightInd w:val="0"/>
        <w:spacing w:after="0" w:line="240" w:lineRule="auto"/>
        <w:jc w:val="both"/>
        <w:rPr>
          <w:rFonts w:ascii="Arial" w:hAnsi="Arial" w:cs="Arial"/>
          <w:sz w:val="24"/>
          <w:szCs w:val="24"/>
        </w:rPr>
      </w:pPr>
    </w:p>
    <w:p w:rsidR="0052788A" w:rsidRDefault="0052788A" w:rsidP="00650CDF">
      <w:pPr>
        <w:autoSpaceDE w:val="0"/>
        <w:autoSpaceDN w:val="0"/>
        <w:adjustRightInd w:val="0"/>
        <w:spacing w:after="0" w:line="240" w:lineRule="auto"/>
        <w:jc w:val="both"/>
        <w:rPr>
          <w:rFonts w:ascii="Arial" w:hAnsi="Arial" w:cs="Arial"/>
          <w:sz w:val="24"/>
          <w:szCs w:val="24"/>
        </w:rPr>
      </w:pPr>
    </w:p>
    <w:p w:rsidR="0052788A" w:rsidRDefault="0052788A" w:rsidP="00650CDF">
      <w:pPr>
        <w:autoSpaceDE w:val="0"/>
        <w:autoSpaceDN w:val="0"/>
        <w:adjustRightInd w:val="0"/>
        <w:spacing w:after="0" w:line="240" w:lineRule="auto"/>
        <w:jc w:val="both"/>
        <w:rPr>
          <w:rFonts w:ascii="Arial" w:hAnsi="Arial" w:cs="Arial"/>
          <w:sz w:val="24"/>
          <w:szCs w:val="24"/>
        </w:rPr>
      </w:pPr>
    </w:p>
    <w:p w:rsidR="00D624E9" w:rsidRPr="00650CDF" w:rsidRDefault="00DC0CC1"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3.9</w:t>
      </w:r>
      <w:r w:rsidRPr="00650CDF">
        <w:rPr>
          <w:rFonts w:ascii="Arial" w:hAnsi="Arial" w:cs="Arial"/>
          <w:sz w:val="24"/>
          <w:szCs w:val="24"/>
        </w:rPr>
        <w:tab/>
      </w:r>
      <w:r w:rsidR="00D624E9" w:rsidRPr="00650CDF">
        <w:rPr>
          <w:rFonts w:ascii="Arial" w:hAnsi="Arial" w:cs="Arial"/>
          <w:sz w:val="24"/>
          <w:szCs w:val="24"/>
        </w:rPr>
        <w:t>There are three important principles for assessing risks:</w:t>
      </w:r>
    </w:p>
    <w:p w:rsidR="00D624E9" w:rsidRPr="00650CDF" w:rsidRDefault="00D624E9" w:rsidP="00650CDF">
      <w:pPr>
        <w:autoSpaceDE w:val="0"/>
        <w:autoSpaceDN w:val="0"/>
        <w:adjustRightInd w:val="0"/>
        <w:spacing w:after="0" w:line="240" w:lineRule="auto"/>
        <w:jc w:val="both"/>
        <w:rPr>
          <w:rFonts w:ascii="Arial" w:hAnsi="Arial" w:cs="Arial"/>
          <w:sz w:val="24"/>
          <w:szCs w:val="24"/>
        </w:rPr>
      </w:pPr>
    </w:p>
    <w:p w:rsidR="00D624E9" w:rsidRPr="00650CDF" w:rsidRDefault="00D624E9" w:rsidP="00650CDF">
      <w:pPr>
        <w:pStyle w:val="ListParagraph"/>
        <w:numPr>
          <w:ilvl w:val="0"/>
          <w:numId w:val="4"/>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Ensure that there is a clear structure to the process so that both likelihood and impact are considered for each risk. </w:t>
      </w:r>
    </w:p>
    <w:p w:rsidR="00DC0CC1" w:rsidRPr="00650CDF" w:rsidRDefault="00DC0CC1" w:rsidP="00650CDF">
      <w:pPr>
        <w:pStyle w:val="ListParagraph"/>
        <w:autoSpaceDE w:val="0"/>
        <w:autoSpaceDN w:val="0"/>
        <w:adjustRightInd w:val="0"/>
        <w:spacing w:after="0" w:line="240" w:lineRule="auto"/>
        <w:ind w:left="1080"/>
        <w:jc w:val="both"/>
        <w:rPr>
          <w:rFonts w:ascii="Arial" w:hAnsi="Arial" w:cs="Arial"/>
          <w:sz w:val="24"/>
          <w:szCs w:val="24"/>
        </w:rPr>
      </w:pPr>
    </w:p>
    <w:p w:rsidR="00D624E9" w:rsidRPr="00650CDF" w:rsidRDefault="00D624E9" w:rsidP="00650CDF">
      <w:pPr>
        <w:pStyle w:val="ListParagraph"/>
        <w:numPr>
          <w:ilvl w:val="0"/>
          <w:numId w:val="4"/>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Record the assessment of risk in a way which facilitates monitoring and the identification of risk priorities.</w:t>
      </w:r>
    </w:p>
    <w:p w:rsidR="00DC0CC1" w:rsidRPr="00650CDF" w:rsidRDefault="00DC0CC1" w:rsidP="00650CDF">
      <w:pPr>
        <w:autoSpaceDE w:val="0"/>
        <w:autoSpaceDN w:val="0"/>
        <w:adjustRightInd w:val="0"/>
        <w:spacing w:after="0" w:line="240" w:lineRule="auto"/>
        <w:jc w:val="both"/>
        <w:rPr>
          <w:rFonts w:ascii="Arial" w:hAnsi="Arial" w:cs="Arial"/>
          <w:sz w:val="24"/>
          <w:szCs w:val="24"/>
        </w:rPr>
      </w:pPr>
    </w:p>
    <w:p w:rsidR="00D624E9" w:rsidRPr="00650CDF" w:rsidRDefault="00D624E9" w:rsidP="00650CDF">
      <w:pPr>
        <w:pStyle w:val="ListParagraph"/>
        <w:numPr>
          <w:ilvl w:val="0"/>
          <w:numId w:val="4"/>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Be clear about the difference between inherent and residual risk. </w:t>
      </w:r>
    </w:p>
    <w:p w:rsidR="00D624E9" w:rsidRDefault="00D624E9" w:rsidP="00650CDF">
      <w:pPr>
        <w:autoSpaceDE w:val="0"/>
        <w:autoSpaceDN w:val="0"/>
        <w:adjustRightInd w:val="0"/>
        <w:spacing w:after="0" w:line="240" w:lineRule="auto"/>
        <w:jc w:val="both"/>
        <w:rPr>
          <w:rFonts w:ascii="Arial" w:hAnsi="Arial" w:cs="Arial"/>
          <w:b/>
          <w:sz w:val="24"/>
          <w:szCs w:val="24"/>
        </w:rPr>
      </w:pPr>
    </w:p>
    <w:p w:rsidR="0052788A" w:rsidRPr="00650CDF" w:rsidRDefault="0052788A" w:rsidP="00650CDF">
      <w:pPr>
        <w:autoSpaceDE w:val="0"/>
        <w:autoSpaceDN w:val="0"/>
        <w:adjustRightInd w:val="0"/>
        <w:spacing w:after="0" w:line="240" w:lineRule="auto"/>
        <w:jc w:val="both"/>
        <w:rPr>
          <w:rFonts w:ascii="Arial" w:hAnsi="Arial" w:cs="Arial"/>
          <w:b/>
          <w:sz w:val="24"/>
          <w:szCs w:val="24"/>
        </w:rPr>
      </w:pPr>
    </w:p>
    <w:p w:rsidR="00D624E9" w:rsidRDefault="00DC0CC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3.10</w:t>
      </w:r>
      <w:r w:rsidR="002C44C6" w:rsidRPr="00650CDF">
        <w:rPr>
          <w:rFonts w:ascii="Arial" w:hAnsi="Arial" w:cs="Arial"/>
          <w:sz w:val="24"/>
          <w:szCs w:val="24"/>
        </w:rPr>
        <w:tab/>
      </w:r>
      <w:r w:rsidR="00D624E9" w:rsidRPr="00650CDF">
        <w:rPr>
          <w:rFonts w:ascii="Arial" w:hAnsi="Arial" w:cs="Arial"/>
          <w:sz w:val="24"/>
          <w:szCs w:val="24"/>
        </w:rPr>
        <w:t xml:space="preserve">To evaluate risks, all risks should be scored in terms of their likelihood and potential impact using the following scale. </w:t>
      </w:r>
    </w:p>
    <w:p w:rsidR="0052788A" w:rsidRPr="00650CDF" w:rsidRDefault="0052788A" w:rsidP="00650CDF">
      <w:pPr>
        <w:autoSpaceDE w:val="0"/>
        <w:autoSpaceDN w:val="0"/>
        <w:adjustRightInd w:val="0"/>
        <w:spacing w:after="0" w:line="240" w:lineRule="auto"/>
        <w:ind w:left="720" w:hanging="720"/>
        <w:jc w:val="both"/>
        <w:rPr>
          <w:rFonts w:ascii="Arial" w:hAnsi="Arial" w:cs="Arial"/>
          <w:sz w:val="24"/>
          <w:szCs w:val="24"/>
        </w:rPr>
      </w:pPr>
    </w:p>
    <w:p w:rsidR="00D624E9" w:rsidRPr="00650CDF" w:rsidRDefault="00D624E9" w:rsidP="00650CDF">
      <w:pPr>
        <w:autoSpaceDE w:val="0"/>
        <w:autoSpaceDN w:val="0"/>
        <w:adjustRightInd w:val="0"/>
        <w:spacing w:after="0" w:line="240" w:lineRule="auto"/>
        <w:jc w:val="both"/>
        <w:rPr>
          <w:rFonts w:ascii="Arial" w:hAnsi="Arial" w:cs="Arial"/>
          <w:sz w:val="24"/>
          <w:szCs w:val="24"/>
        </w:rPr>
      </w:pPr>
    </w:p>
    <w:tbl>
      <w:tblPr>
        <w:tblStyle w:val="LightGrid-Accent1"/>
        <w:tblW w:w="0" w:type="auto"/>
        <w:jc w:val="center"/>
        <w:tblLook w:val="04A0" w:firstRow="1" w:lastRow="0" w:firstColumn="1" w:lastColumn="0" w:noHBand="0" w:noVBand="1"/>
      </w:tblPr>
      <w:tblGrid>
        <w:gridCol w:w="1242"/>
        <w:gridCol w:w="2268"/>
        <w:gridCol w:w="1276"/>
        <w:gridCol w:w="2164"/>
      </w:tblGrid>
      <w:tr w:rsidR="00D624E9" w:rsidRPr="00650CDF" w:rsidTr="00341E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gridSpan w:val="2"/>
          </w:tcPr>
          <w:p w:rsidR="00D624E9" w:rsidRPr="00650CDF" w:rsidRDefault="00D624E9" w:rsidP="00650CDF">
            <w:pPr>
              <w:autoSpaceDE w:val="0"/>
              <w:autoSpaceDN w:val="0"/>
              <w:adjustRightInd w:val="0"/>
              <w:jc w:val="both"/>
              <w:rPr>
                <w:rFonts w:ascii="Arial" w:hAnsi="Arial" w:cs="Arial"/>
                <w:sz w:val="24"/>
                <w:szCs w:val="24"/>
              </w:rPr>
            </w:pPr>
            <w:r w:rsidRPr="00650CDF">
              <w:rPr>
                <w:rFonts w:ascii="Arial" w:hAnsi="Arial" w:cs="Arial"/>
                <w:sz w:val="24"/>
                <w:szCs w:val="24"/>
              </w:rPr>
              <w:t>Probability</w:t>
            </w:r>
          </w:p>
        </w:tc>
        <w:tc>
          <w:tcPr>
            <w:tcW w:w="3261" w:type="dxa"/>
            <w:gridSpan w:val="2"/>
          </w:tcPr>
          <w:p w:rsidR="00D624E9" w:rsidRPr="00650CDF" w:rsidRDefault="00D624E9" w:rsidP="00650CD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50CDF">
              <w:rPr>
                <w:rFonts w:ascii="Arial" w:hAnsi="Arial" w:cs="Arial"/>
                <w:sz w:val="24"/>
                <w:szCs w:val="24"/>
              </w:rPr>
              <w:t>Impact</w:t>
            </w:r>
          </w:p>
        </w:tc>
      </w:tr>
      <w:tr w:rsidR="00D624E9" w:rsidRPr="00650CDF" w:rsidTr="00341E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624E9" w:rsidRPr="00650CDF" w:rsidRDefault="00D624E9" w:rsidP="00650CDF">
            <w:pPr>
              <w:autoSpaceDE w:val="0"/>
              <w:autoSpaceDN w:val="0"/>
              <w:adjustRightInd w:val="0"/>
              <w:jc w:val="both"/>
              <w:rPr>
                <w:rFonts w:ascii="Arial" w:hAnsi="Arial" w:cs="Arial"/>
                <w:sz w:val="24"/>
                <w:szCs w:val="24"/>
              </w:rPr>
            </w:pPr>
            <w:r w:rsidRPr="00650CDF">
              <w:rPr>
                <w:rFonts w:ascii="Arial" w:hAnsi="Arial" w:cs="Arial"/>
                <w:sz w:val="24"/>
                <w:szCs w:val="24"/>
              </w:rPr>
              <w:t>Score</w:t>
            </w:r>
          </w:p>
        </w:tc>
        <w:tc>
          <w:tcPr>
            <w:tcW w:w="2268" w:type="dxa"/>
          </w:tcPr>
          <w:p w:rsidR="00D624E9" w:rsidRPr="00650CDF" w:rsidRDefault="00D624E9"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rsidR="00D624E9" w:rsidRPr="00650CDF" w:rsidRDefault="00D624E9"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50CDF">
              <w:rPr>
                <w:rFonts w:ascii="Arial" w:hAnsi="Arial" w:cs="Arial"/>
                <w:b/>
                <w:sz w:val="24"/>
                <w:szCs w:val="24"/>
              </w:rPr>
              <w:t>Score</w:t>
            </w:r>
          </w:p>
        </w:tc>
        <w:tc>
          <w:tcPr>
            <w:tcW w:w="1985" w:type="dxa"/>
          </w:tcPr>
          <w:p w:rsidR="00D624E9" w:rsidRPr="00650CDF" w:rsidRDefault="00D624E9"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624E9" w:rsidRPr="00650CDF" w:rsidTr="00341E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624E9" w:rsidRPr="00650CDF" w:rsidRDefault="00D624E9" w:rsidP="00650CDF">
            <w:pPr>
              <w:autoSpaceDE w:val="0"/>
              <w:autoSpaceDN w:val="0"/>
              <w:adjustRightInd w:val="0"/>
              <w:jc w:val="both"/>
              <w:rPr>
                <w:rFonts w:ascii="Arial" w:hAnsi="Arial" w:cs="Arial"/>
                <w:sz w:val="24"/>
                <w:szCs w:val="24"/>
              </w:rPr>
            </w:pPr>
            <w:r w:rsidRPr="00650CDF">
              <w:rPr>
                <w:rFonts w:ascii="Arial" w:hAnsi="Arial" w:cs="Arial"/>
                <w:sz w:val="24"/>
                <w:szCs w:val="24"/>
              </w:rPr>
              <w:t>1</w:t>
            </w:r>
          </w:p>
        </w:tc>
        <w:tc>
          <w:tcPr>
            <w:tcW w:w="2268" w:type="dxa"/>
          </w:tcPr>
          <w:p w:rsidR="00D624E9" w:rsidRPr="00650CDF" w:rsidRDefault="002C44C6"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Very Unlikely</w:t>
            </w:r>
          </w:p>
        </w:tc>
        <w:tc>
          <w:tcPr>
            <w:tcW w:w="1276" w:type="dxa"/>
          </w:tcPr>
          <w:p w:rsidR="00D624E9" w:rsidRPr="00650CDF" w:rsidRDefault="00D624E9"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1</w:t>
            </w:r>
          </w:p>
        </w:tc>
        <w:tc>
          <w:tcPr>
            <w:tcW w:w="1985" w:type="dxa"/>
          </w:tcPr>
          <w:p w:rsidR="00D624E9" w:rsidRPr="00650CDF" w:rsidRDefault="002C44C6"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Insignificant</w:t>
            </w:r>
          </w:p>
        </w:tc>
      </w:tr>
      <w:tr w:rsidR="00D624E9" w:rsidRPr="00650CDF" w:rsidTr="00341E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624E9" w:rsidRPr="00650CDF" w:rsidRDefault="00D624E9" w:rsidP="00650CDF">
            <w:pPr>
              <w:autoSpaceDE w:val="0"/>
              <w:autoSpaceDN w:val="0"/>
              <w:adjustRightInd w:val="0"/>
              <w:jc w:val="both"/>
              <w:rPr>
                <w:rFonts w:ascii="Arial" w:hAnsi="Arial" w:cs="Arial"/>
                <w:sz w:val="24"/>
                <w:szCs w:val="24"/>
              </w:rPr>
            </w:pPr>
            <w:r w:rsidRPr="00650CDF">
              <w:rPr>
                <w:rFonts w:ascii="Arial" w:hAnsi="Arial" w:cs="Arial"/>
                <w:sz w:val="24"/>
                <w:szCs w:val="24"/>
              </w:rPr>
              <w:t>2</w:t>
            </w:r>
          </w:p>
        </w:tc>
        <w:tc>
          <w:tcPr>
            <w:tcW w:w="2268" w:type="dxa"/>
          </w:tcPr>
          <w:p w:rsidR="00D624E9" w:rsidRPr="00650CDF" w:rsidRDefault="002C44C6"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50CDF">
              <w:rPr>
                <w:rFonts w:ascii="Arial" w:hAnsi="Arial" w:cs="Arial"/>
                <w:sz w:val="24"/>
                <w:szCs w:val="24"/>
              </w:rPr>
              <w:t>Unlikely</w:t>
            </w:r>
          </w:p>
        </w:tc>
        <w:tc>
          <w:tcPr>
            <w:tcW w:w="1276" w:type="dxa"/>
          </w:tcPr>
          <w:p w:rsidR="00D624E9" w:rsidRPr="00650CDF" w:rsidRDefault="00D624E9"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50CDF">
              <w:rPr>
                <w:rFonts w:ascii="Arial" w:hAnsi="Arial" w:cs="Arial"/>
                <w:sz w:val="24"/>
                <w:szCs w:val="24"/>
              </w:rPr>
              <w:t>2</w:t>
            </w:r>
          </w:p>
        </w:tc>
        <w:tc>
          <w:tcPr>
            <w:tcW w:w="1985" w:type="dxa"/>
          </w:tcPr>
          <w:p w:rsidR="00D624E9" w:rsidRPr="00650CDF" w:rsidRDefault="00D624E9"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50CDF">
              <w:rPr>
                <w:rFonts w:ascii="Arial" w:hAnsi="Arial" w:cs="Arial"/>
                <w:sz w:val="24"/>
                <w:szCs w:val="24"/>
              </w:rPr>
              <w:t>M</w:t>
            </w:r>
            <w:r w:rsidR="002C44C6" w:rsidRPr="00650CDF">
              <w:rPr>
                <w:rFonts w:ascii="Arial" w:hAnsi="Arial" w:cs="Arial"/>
                <w:sz w:val="24"/>
                <w:szCs w:val="24"/>
              </w:rPr>
              <w:t>inor</w:t>
            </w:r>
          </w:p>
        </w:tc>
      </w:tr>
      <w:tr w:rsidR="00D624E9" w:rsidRPr="00650CDF" w:rsidTr="00341E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624E9" w:rsidRPr="00650CDF" w:rsidRDefault="00D624E9" w:rsidP="00650CDF">
            <w:pPr>
              <w:autoSpaceDE w:val="0"/>
              <w:autoSpaceDN w:val="0"/>
              <w:adjustRightInd w:val="0"/>
              <w:jc w:val="both"/>
              <w:rPr>
                <w:rFonts w:ascii="Arial" w:hAnsi="Arial" w:cs="Arial"/>
                <w:sz w:val="24"/>
                <w:szCs w:val="24"/>
              </w:rPr>
            </w:pPr>
            <w:r w:rsidRPr="00650CDF">
              <w:rPr>
                <w:rFonts w:ascii="Arial" w:hAnsi="Arial" w:cs="Arial"/>
                <w:sz w:val="24"/>
                <w:szCs w:val="24"/>
              </w:rPr>
              <w:t>3</w:t>
            </w:r>
          </w:p>
        </w:tc>
        <w:tc>
          <w:tcPr>
            <w:tcW w:w="2268" w:type="dxa"/>
          </w:tcPr>
          <w:p w:rsidR="00D624E9" w:rsidRPr="00650CDF" w:rsidRDefault="00D624E9"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Possible</w:t>
            </w:r>
          </w:p>
        </w:tc>
        <w:tc>
          <w:tcPr>
            <w:tcW w:w="1276" w:type="dxa"/>
          </w:tcPr>
          <w:p w:rsidR="00D624E9" w:rsidRPr="00650CDF" w:rsidRDefault="00D624E9"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3</w:t>
            </w:r>
          </w:p>
        </w:tc>
        <w:tc>
          <w:tcPr>
            <w:tcW w:w="1985" w:type="dxa"/>
          </w:tcPr>
          <w:p w:rsidR="00D624E9" w:rsidRPr="00650CDF" w:rsidRDefault="00D624E9"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Moderate</w:t>
            </w:r>
          </w:p>
        </w:tc>
      </w:tr>
      <w:tr w:rsidR="00D624E9" w:rsidRPr="00650CDF" w:rsidTr="00341E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624E9" w:rsidRPr="00650CDF" w:rsidRDefault="00D624E9" w:rsidP="00650CDF">
            <w:pPr>
              <w:autoSpaceDE w:val="0"/>
              <w:autoSpaceDN w:val="0"/>
              <w:adjustRightInd w:val="0"/>
              <w:jc w:val="both"/>
              <w:rPr>
                <w:rFonts w:ascii="Arial" w:hAnsi="Arial" w:cs="Arial"/>
                <w:sz w:val="24"/>
                <w:szCs w:val="24"/>
              </w:rPr>
            </w:pPr>
            <w:r w:rsidRPr="00650CDF">
              <w:rPr>
                <w:rFonts w:ascii="Arial" w:hAnsi="Arial" w:cs="Arial"/>
                <w:sz w:val="24"/>
                <w:szCs w:val="24"/>
              </w:rPr>
              <w:t>4</w:t>
            </w:r>
          </w:p>
        </w:tc>
        <w:tc>
          <w:tcPr>
            <w:tcW w:w="2268" w:type="dxa"/>
          </w:tcPr>
          <w:p w:rsidR="00D624E9" w:rsidRPr="00650CDF" w:rsidRDefault="002C44C6"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50CDF">
              <w:rPr>
                <w:rFonts w:ascii="Arial" w:hAnsi="Arial" w:cs="Arial"/>
                <w:sz w:val="24"/>
                <w:szCs w:val="24"/>
              </w:rPr>
              <w:t>Likely</w:t>
            </w:r>
          </w:p>
        </w:tc>
        <w:tc>
          <w:tcPr>
            <w:tcW w:w="1276" w:type="dxa"/>
          </w:tcPr>
          <w:p w:rsidR="00D624E9" w:rsidRPr="00650CDF" w:rsidRDefault="00D624E9"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50CDF">
              <w:rPr>
                <w:rFonts w:ascii="Arial" w:hAnsi="Arial" w:cs="Arial"/>
                <w:sz w:val="24"/>
                <w:szCs w:val="24"/>
              </w:rPr>
              <w:t>4</w:t>
            </w:r>
          </w:p>
        </w:tc>
        <w:tc>
          <w:tcPr>
            <w:tcW w:w="1985" w:type="dxa"/>
          </w:tcPr>
          <w:p w:rsidR="00D624E9" w:rsidRPr="00650CDF" w:rsidRDefault="002C44C6"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50CDF">
              <w:rPr>
                <w:rFonts w:ascii="Arial" w:hAnsi="Arial" w:cs="Arial"/>
                <w:sz w:val="24"/>
                <w:szCs w:val="24"/>
              </w:rPr>
              <w:t>Major</w:t>
            </w:r>
          </w:p>
        </w:tc>
      </w:tr>
      <w:tr w:rsidR="00D624E9" w:rsidRPr="00650CDF" w:rsidTr="00341E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624E9" w:rsidRPr="00650CDF" w:rsidRDefault="00D624E9" w:rsidP="00650CDF">
            <w:pPr>
              <w:autoSpaceDE w:val="0"/>
              <w:autoSpaceDN w:val="0"/>
              <w:adjustRightInd w:val="0"/>
              <w:jc w:val="both"/>
              <w:rPr>
                <w:rFonts w:ascii="Arial" w:hAnsi="Arial" w:cs="Arial"/>
                <w:sz w:val="24"/>
                <w:szCs w:val="24"/>
              </w:rPr>
            </w:pPr>
            <w:r w:rsidRPr="00650CDF">
              <w:rPr>
                <w:rFonts w:ascii="Arial" w:hAnsi="Arial" w:cs="Arial"/>
                <w:sz w:val="24"/>
                <w:szCs w:val="24"/>
              </w:rPr>
              <w:t>5</w:t>
            </w:r>
          </w:p>
        </w:tc>
        <w:tc>
          <w:tcPr>
            <w:tcW w:w="2268" w:type="dxa"/>
          </w:tcPr>
          <w:p w:rsidR="00D624E9" w:rsidRPr="00650CDF" w:rsidRDefault="002C44C6"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Almost Certain</w:t>
            </w:r>
          </w:p>
        </w:tc>
        <w:tc>
          <w:tcPr>
            <w:tcW w:w="1276" w:type="dxa"/>
          </w:tcPr>
          <w:p w:rsidR="00D624E9" w:rsidRPr="00650CDF" w:rsidRDefault="00D624E9"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5</w:t>
            </w:r>
          </w:p>
        </w:tc>
        <w:tc>
          <w:tcPr>
            <w:tcW w:w="1985" w:type="dxa"/>
          </w:tcPr>
          <w:p w:rsidR="00D624E9" w:rsidRPr="00650CDF" w:rsidRDefault="002C44C6"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Fatal/Catastrophic</w:t>
            </w:r>
          </w:p>
        </w:tc>
      </w:tr>
    </w:tbl>
    <w:p w:rsidR="00D624E9" w:rsidRDefault="00D624E9" w:rsidP="00650CDF">
      <w:pPr>
        <w:autoSpaceDE w:val="0"/>
        <w:autoSpaceDN w:val="0"/>
        <w:adjustRightInd w:val="0"/>
        <w:spacing w:after="0" w:line="240" w:lineRule="auto"/>
        <w:jc w:val="both"/>
        <w:rPr>
          <w:rFonts w:ascii="Arial" w:hAnsi="Arial" w:cs="Arial"/>
          <w:b/>
          <w:sz w:val="24"/>
          <w:szCs w:val="24"/>
        </w:rPr>
      </w:pPr>
    </w:p>
    <w:p w:rsidR="0052788A" w:rsidRPr="00650CDF" w:rsidRDefault="0052788A" w:rsidP="00650CDF">
      <w:pPr>
        <w:autoSpaceDE w:val="0"/>
        <w:autoSpaceDN w:val="0"/>
        <w:adjustRightInd w:val="0"/>
        <w:spacing w:after="0" w:line="240" w:lineRule="auto"/>
        <w:jc w:val="both"/>
        <w:rPr>
          <w:rFonts w:ascii="Arial" w:hAnsi="Arial" w:cs="Arial"/>
          <w:b/>
          <w:sz w:val="24"/>
          <w:szCs w:val="24"/>
        </w:rPr>
      </w:pPr>
    </w:p>
    <w:p w:rsidR="00D624E9" w:rsidRPr="00650CDF" w:rsidRDefault="00DC0CC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3.11</w:t>
      </w:r>
      <w:r w:rsidRPr="00650CDF">
        <w:rPr>
          <w:rFonts w:ascii="Arial" w:hAnsi="Arial" w:cs="Arial"/>
          <w:sz w:val="24"/>
          <w:szCs w:val="24"/>
        </w:rPr>
        <w:tab/>
      </w:r>
      <w:r w:rsidR="00D624E9" w:rsidRPr="00650CDF">
        <w:rPr>
          <w:rFonts w:ascii="Arial" w:hAnsi="Arial" w:cs="Arial"/>
          <w:sz w:val="24"/>
          <w:szCs w:val="24"/>
        </w:rPr>
        <w:t>The overall risk score will be the sum of the probability and impact scores added together and expressed as a percentage.</w:t>
      </w:r>
    </w:p>
    <w:p w:rsidR="0052788A" w:rsidRPr="00650CDF" w:rsidRDefault="0052788A" w:rsidP="00650CDF">
      <w:pPr>
        <w:autoSpaceDE w:val="0"/>
        <w:autoSpaceDN w:val="0"/>
        <w:adjustRightInd w:val="0"/>
        <w:spacing w:after="0" w:line="240" w:lineRule="auto"/>
        <w:jc w:val="both"/>
        <w:rPr>
          <w:rFonts w:ascii="Arial" w:hAnsi="Arial" w:cs="Arial"/>
          <w:sz w:val="24"/>
          <w:szCs w:val="24"/>
        </w:rPr>
      </w:pPr>
    </w:p>
    <w:p w:rsidR="00D624E9" w:rsidRPr="00650CDF" w:rsidRDefault="00DC0CC1"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3.12</w:t>
      </w:r>
      <w:r w:rsidR="002C44C6" w:rsidRPr="00650CDF">
        <w:rPr>
          <w:rFonts w:ascii="Arial" w:hAnsi="Arial" w:cs="Arial"/>
          <w:b/>
          <w:sz w:val="24"/>
          <w:szCs w:val="24"/>
        </w:rPr>
        <w:tab/>
      </w:r>
      <w:r w:rsidR="00D624E9" w:rsidRPr="00650CDF">
        <w:rPr>
          <w:rFonts w:ascii="Arial" w:hAnsi="Arial" w:cs="Arial"/>
          <w:b/>
          <w:sz w:val="24"/>
          <w:szCs w:val="24"/>
        </w:rPr>
        <w:t>Risk Appetite</w:t>
      </w:r>
    </w:p>
    <w:p w:rsidR="00D624E9" w:rsidRPr="00650CDF" w:rsidRDefault="00D624E9" w:rsidP="00650CDF">
      <w:pPr>
        <w:autoSpaceDE w:val="0"/>
        <w:autoSpaceDN w:val="0"/>
        <w:adjustRightInd w:val="0"/>
        <w:spacing w:after="0" w:line="240" w:lineRule="auto"/>
        <w:jc w:val="both"/>
        <w:rPr>
          <w:rFonts w:ascii="Arial" w:hAnsi="Arial" w:cs="Arial"/>
          <w:b/>
          <w:sz w:val="24"/>
          <w:szCs w:val="24"/>
        </w:rPr>
      </w:pPr>
    </w:p>
    <w:p w:rsidR="00D624E9" w:rsidRPr="00650CDF" w:rsidRDefault="00D624E9" w:rsidP="00650CDF">
      <w:pPr>
        <w:autoSpaceDE w:val="0"/>
        <w:autoSpaceDN w:val="0"/>
        <w:adjustRightInd w:val="0"/>
        <w:spacing w:after="0" w:line="240" w:lineRule="auto"/>
        <w:ind w:left="720"/>
        <w:jc w:val="both"/>
        <w:rPr>
          <w:rFonts w:ascii="Arial" w:hAnsi="Arial" w:cs="Arial"/>
          <w:sz w:val="24"/>
          <w:szCs w:val="24"/>
        </w:rPr>
      </w:pPr>
      <w:r w:rsidRPr="00650CDF">
        <w:rPr>
          <w:rFonts w:ascii="Arial" w:hAnsi="Arial" w:cs="Arial"/>
          <w:sz w:val="24"/>
          <w:szCs w:val="24"/>
        </w:rPr>
        <w:t xml:space="preserve">The aim of the </w:t>
      </w:r>
      <w:r w:rsidR="002C44C6" w:rsidRPr="00650CDF">
        <w:rPr>
          <w:rFonts w:ascii="Arial" w:hAnsi="Arial" w:cs="Arial"/>
          <w:sz w:val="24"/>
          <w:szCs w:val="24"/>
        </w:rPr>
        <w:t>Risk Management Strategy</w:t>
      </w:r>
      <w:r w:rsidRPr="00650CDF">
        <w:rPr>
          <w:rFonts w:ascii="Arial" w:hAnsi="Arial" w:cs="Arial"/>
          <w:sz w:val="24"/>
          <w:szCs w:val="24"/>
        </w:rPr>
        <w:t xml:space="preserve"> is not to remove but to recognise that some level of risk will always exist. It is recognised that taking risks in a controlled manner is fundamental to innovation and the building of a can do culture which is fundamental to the continued success of the </w:t>
      </w:r>
      <w:r w:rsidR="00DC0CC1" w:rsidRPr="00650CDF">
        <w:rPr>
          <w:rFonts w:ascii="Arial" w:hAnsi="Arial" w:cs="Arial"/>
          <w:sz w:val="24"/>
          <w:szCs w:val="24"/>
        </w:rPr>
        <w:t>Group</w:t>
      </w:r>
      <w:r w:rsidRPr="00650CDF">
        <w:rPr>
          <w:rFonts w:ascii="Arial" w:hAnsi="Arial" w:cs="Arial"/>
          <w:sz w:val="24"/>
          <w:szCs w:val="24"/>
        </w:rPr>
        <w:t>.</w:t>
      </w:r>
    </w:p>
    <w:p w:rsidR="002C44C6" w:rsidRPr="00650CDF" w:rsidRDefault="002C44C6" w:rsidP="00650CDF">
      <w:pPr>
        <w:autoSpaceDE w:val="0"/>
        <w:autoSpaceDN w:val="0"/>
        <w:adjustRightInd w:val="0"/>
        <w:spacing w:after="0" w:line="240" w:lineRule="auto"/>
        <w:ind w:left="720"/>
        <w:jc w:val="both"/>
        <w:rPr>
          <w:rFonts w:ascii="Arial" w:hAnsi="Arial" w:cs="Arial"/>
          <w:sz w:val="24"/>
          <w:szCs w:val="24"/>
        </w:rPr>
      </w:pPr>
    </w:p>
    <w:p w:rsidR="00D624E9" w:rsidRPr="00650CDF" w:rsidRDefault="00DC0CC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3.13</w:t>
      </w:r>
      <w:r w:rsidR="002C44C6" w:rsidRPr="00650CDF">
        <w:rPr>
          <w:rFonts w:ascii="Arial" w:hAnsi="Arial" w:cs="Arial"/>
          <w:sz w:val="24"/>
          <w:szCs w:val="24"/>
        </w:rPr>
        <w:tab/>
      </w:r>
      <w:r w:rsidR="00D624E9" w:rsidRPr="00650CDF">
        <w:rPr>
          <w:rFonts w:ascii="Arial" w:hAnsi="Arial" w:cs="Arial"/>
          <w:sz w:val="24"/>
          <w:szCs w:val="24"/>
        </w:rPr>
        <w:t xml:space="preserve">Risk appetite is the amount of risk that the </w:t>
      </w:r>
      <w:r w:rsidR="002C44C6" w:rsidRPr="00650CDF">
        <w:rPr>
          <w:rFonts w:ascii="Arial" w:hAnsi="Arial" w:cs="Arial"/>
          <w:sz w:val="24"/>
          <w:szCs w:val="24"/>
        </w:rPr>
        <w:t>Group</w:t>
      </w:r>
      <w:r w:rsidR="00D624E9" w:rsidRPr="00650CDF">
        <w:rPr>
          <w:rFonts w:ascii="Arial" w:hAnsi="Arial" w:cs="Arial"/>
          <w:sz w:val="24"/>
          <w:szCs w:val="24"/>
        </w:rPr>
        <w:t xml:space="preserve"> is prepared to accept, tolerate or be exposed to at any point in time. Risk appetite can be expressed as a boundary, above which the organisation will not tolerate the level of risk and further actions must be taken:</w:t>
      </w:r>
    </w:p>
    <w:p w:rsidR="00650CDF" w:rsidRPr="00650CDF" w:rsidRDefault="00650CDF" w:rsidP="00650CDF">
      <w:pPr>
        <w:autoSpaceDE w:val="0"/>
        <w:autoSpaceDN w:val="0"/>
        <w:adjustRightInd w:val="0"/>
        <w:spacing w:after="0" w:line="240" w:lineRule="auto"/>
        <w:jc w:val="both"/>
        <w:rPr>
          <w:rFonts w:ascii="Arial" w:hAnsi="Arial" w:cs="Arial"/>
          <w:sz w:val="24"/>
          <w:szCs w:val="24"/>
        </w:rPr>
      </w:pPr>
    </w:p>
    <w:p w:rsidR="00DC0CC1" w:rsidRDefault="00DC0CC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3.14</w:t>
      </w:r>
      <w:r w:rsidRPr="00650CDF">
        <w:rPr>
          <w:rFonts w:ascii="Arial" w:hAnsi="Arial" w:cs="Arial"/>
          <w:sz w:val="24"/>
          <w:szCs w:val="24"/>
        </w:rPr>
        <w:tab/>
        <w:t>The following impact and likelihood criteria will be used to review, assess, calculate and allocate risk scores:</w:t>
      </w:r>
    </w:p>
    <w:p w:rsidR="0052788A" w:rsidRPr="00650CDF" w:rsidRDefault="0052788A" w:rsidP="00650CDF">
      <w:pPr>
        <w:autoSpaceDE w:val="0"/>
        <w:autoSpaceDN w:val="0"/>
        <w:adjustRightInd w:val="0"/>
        <w:spacing w:after="0" w:line="240" w:lineRule="auto"/>
        <w:ind w:left="720" w:hanging="720"/>
        <w:jc w:val="both"/>
        <w:rPr>
          <w:rFonts w:ascii="Arial" w:hAnsi="Arial" w:cs="Arial"/>
          <w:sz w:val="24"/>
          <w:szCs w:val="24"/>
        </w:rPr>
      </w:pPr>
    </w:p>
    <w:p w:rsidR="00650CDF" w:rsidRPr="00650CDF" w:rsidRDefault="00650CDF" w:rsidP="00650CDF">
      <w:pPr>
        <w:autoSpaceDE w:val="0"/>
        <w:autoSpaceDN w:val="0"/>
        <w:adjustRightInd w:val="0"/>
        <w:spacing w:after="0" w:line="240" w:lineRule="auto"/>
        <w:jc w:val="both"/>
        <w:rPr>
          <w:rFonts w:ascii="Arial" w:hAnsi="Arial" w:cs="Arial"/>
          <w:sz w:val="24"/>
          <w:szCs w:val="24"/>
        </w:rPr>
      </w:pPr>
    </w:p>
    <w:tbl>
      <w:tblPr>
        <w:tblW w:w="8920" w:type="dxa"/>
        <w:tblInd w:w="719" w:type="dxa"/>
        <w:tblLayout w:type="fixed"/>
        <w:tblCellMar>
          <w:left w:w="0" w:type="dxa"/>
          <w:right w:w="0" w:type="dxa"/>
        </w:tblCellMar>
        <w:tblLook w:val="0420" w:firstRow="1" w:lastRow="0" w:firstColumn="0" w:lastColumn="0" w:noHBand="0" w:noVBand="1"/>
      </w:tblPr>
      <w:tblGrid>
        <w:gridCol w:w="570"/>
        <w:gridCol w:w="1701"/>
        <w:gridCol w:w="567"/>
        <w:gridCol w:w="1121"/>
        <w:gridCol w:w="1147"/>
        <w:gridCol w:w="1275"/>
        <w:gridCol w:w="1134"/>
        <w:gridCol w:w="1405"/>
      </w:tblGrid>
      <w:tr w:rsidR="00D624E9" w:rsidRPr="00650CDF" w:rsidTr="00DE12F8">
        <w:trPr>
          <w:trHeight w:val="482"/>
        </w:trPr>
        <w:tc>
          <w:tcPr>
            <w:tcW w:w="570" w:type="dxa"/>
            <w:tcBorders>
              <w:top w:val="nil"/>
              <w:left w:val="nil"/>
              <w:bottom w:val="single" w:sz="8" w:space="0" w:color="000000"/>
              <w:right w:val="nil"/>
            </w:tcBorders>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567"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6082"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Assessment of Risk</w:t>
            </w:r>
          </w:p>
        </w:tc>
      </w:tr>
      <w:tr w:rsidR="00D624E9" w:rsidRPr="00650CDF" w:rsidTr="00DE12F8">
        <w:trPr>
          <w:trHeight w:val="584"/>
        </w:trPr>
        <w:tc>
          <w:tcPr>
            <w:tcW w:w="570" w:type="dxa"/>
            <w:vMerge w:val="restart"/>
            <w:tcBorders>
              <w:top w:val="single" w:sz="8" w:space="0" w:color="000000"/>
              <w:left w:val="single" w:sz="8" w:space="0" w:color="000000"/>
              <w:right w:val="single" w:sz="8" w:space="0" w:color="000000"/>
            </w:tcBorders>
            <w:shd w:val="clear" w:color="auto" w:fill="CBCBCB"/>
            <w:textDirection w:val="btLr"/>
            <w:vAlign w:val="center"/>
          </w:tcPr>
          <w:p w:rsidR="00D624E9" w:rsidRPr="00650CDF" w:rsidRDefault="00D624E9" w:rsidP="00650CDF">
            <w:pPr>
              <w:spacing w:after="0" w:line="240" w:lineRule="auto"/>
              <w:ind w:left="113" w:right="113"/>
              <w:jc w:val="both"/>
              <w:rPr>
                <w:rFonts w:ascii="Arial" w:eastAsia="Times New Roman" w:hAnsi="Arial" w:cs="Arial"/>
                <w:b/>
                <w:color w:val="000000" w:themeColor="dark1"/>
                <w:kern w:val="24"/>
                <w:sz w:val="24"/>
                <w:szCs w:val="24"/>
                <w:lang w:eastAsia="en-GB"/>
              </w:rPr>
            </w:pPr>
            <w:r w:rsidRPr="00650CDF">
              <w:rPr>
                <w:rFonts w:ascii="Arial" w:eastAsia="Times New Roman" w:hAnsi="Arial" w:cs="Arial"/>
                <w:b/>
                <w:color w:val="000000" w:themeColor="dark1"/>
                <w:kern w:val="24"/>
                <w:sz w:val="24"/>
                <w:szCs w:val="24"/>
                <w:lang w:eastAsia="en-GB"/>
              </w:rPr>
              <w:t>Impact</w:t>
            </w:r>
          </w:p>
        </w:tc>
        <w:tc>
          <w:tcPr>
            <w:tcW w:w="170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b/>
                <w:sz w:val="20"/>
                <w:szCs w:val="20"/>
                <w:lang w:eastAsia="en-GB"/>
              </w:rPr>
            </w:pPr>
            <w:r w:rsidRPr="00DE12F8">
              <w:rPr>
                <w:rFonts w:ascii="Arial" w:eastAsia="Times New Roman" w:hAnsi="Arial" w:cs="Arial"/>
                <w:b/>
                <w:color w:val="000000" w:themeColor="dark1"/>
                <w:kern w:val="24"/>
                <w:sz w:val="20"/>
                <w:szCs w:val="20"/>
                <w:lang w:eastAsia="en-GB"/>
              </w:rPr>
              <w:t>Fatal/ Catastrophic</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5</w:t>
            </w:r>
          </w:p>
        </w:tc>
        <w:tc>
          <w:tcPr>
            <w:tcW w:w="1121" w:type="dxa"/>
            <w:tcBorders>
              <w:top w:val="single" w:sz="8" w:space="0" w:color="000000"/>
              <w:left w:val="single" w:sz="8" w:space="0" w:color="000000"/>
              <w:bottom w:val="single" w:sz="8" w:space="0" w:color="000000"/>
              <w:right w:val="single" w:sz="8" w:space="0" w:color="000000"/>
            </w:tcBorders>
            <w:shd w:val="clear" w:color="auto" w:fill="F0B57A"/>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60%</w:t>
            </w:r>
          </w:p>
        </w:tc>
        <w:tc>
          <w:tcPr>
            <w:tcW w:w="1147" w:type="dxa"/>
            <w:tcBorders>
              <w:top w:val="single" w:sz="8" w:space="0" w:color="000000"/>
              <w:left w:val="single" w:sz="8" w:space="0" w:color="000000"/>
              <w:bottom w:val="single" w:sz="8" w:space="0" w:color="000000"/>
              <w:right w:val="single" w:sz="8" w:space="0" w:color="000000"/>
            </w:tcBorders>
            <w:shd w:val="clear" w:color="auto" w:fill="E68422"/>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70%</w:t>
            </w:r>
          </w:p>
        </w:tc>
        <w:tc>
          <w:tcPr>
            <w:tcW w:w="1275" w:type="dxa"/>
            <w:tcBorders>
              <w:top w:val="single" w:sz="8" w:space="0" w:color="000000"/>
              <w:left w:val="single" w:sz="8" w:space="0" w:color="000000"/>
              <w:bottom w:val="single" w:sz="8" w:space="0" w:color="000000"/>
              <w:right w:val="single" w:sz="8" w:space="0" w:color="000000"/>
            </w:tcBorders>
            <w:shd w:val="clear" w:color="auto" w:fill="E68422"/>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80%</w:t>
            </w:r>
          </w:p>
        </w:tc>
        <w:tc>
          <w:tcPr>
            <w:tcW w:w="113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90%</w:t>
            </w:r>
          </w:p>
        </w:tc>
        <w:tc>
          <w:tcPr>
            <w:tcW w:w="140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100%</w:t>
            </w:r>
          </w:p>
        </w:tc>
      </w:tr>
      <w:tr w:rsidR="00D624E9" w:rsidRPr="00650CDF" w:rsidTr="00DE12F8">
        <w:trPr>
          <w:trHeight w:val="584"/>
        </w:trPr>
        <w:tc>
          <w:tcPr>
            <w:tcW w:w="570" w:type="dxa"/>
            <w:vMerge/>
            <w:tcBorders>
              <w:left w:val="single" w:sz="8" w:space="0" w:color="000000"/>
              <w:right w:val="single" w:sz="8" w:space="0" w:color="000000"/>
            </w:tcBorders>
            <w:shd w:val="clear" w:color="auto" w:fill="E7E7E7"/>
          </w:tcPr>
          <w:p w:rsidR="00D624E9" w:rsidRPr="00650CDF" w:rsidRDefault="00D624E9" w:rsidP="00650CDF">
            <w:pPr>
              <w:spacing w:after="0" w:line="240" w:lineRule="auto"/>
              <w:jc w:val="both"/>
              <w:rPr>
                <w:rFonts w:ascii="Arial" w:eastAsia="Times New Roman" w:hAnsi="Arial" w:cs="Arial"/>
                <w:color w:val="000000" w:themeColor="dark1"/>
                <w:kern w:val="24"/>
                <w:sz w:val="24"/>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b/>
                <w:sz w:val="20"/>
                <w:szCs w:val="20"/>
                <w:lang w:eastAsia="en-GB"/>
              </w:rPr>
            </w:pPr>
            <w:r w:rsidRPr="00DE12F8">
              <w:rPr>
                <w:rFonts w:ascii="Arial" w:eastAsia="Times New Roman" w:hAnsi="Arial" w:cs="Arial"/>
                <w:b/>
                <w:color w:val="000000" w:themeColor="dark1"/>
                <w:kern w:val="24"/>
                <w:sz w:val="20"/>
                <w:szCs w:val="20"/>
                <w:lang w:eastAsia="en-GB"/>
              </w:rPr>
              <w:t>Major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4</w:t>
            </w:r>
          </w:p>
        </w:tc>
        <w:tc>
          <w:tcPr>
            <w:tcW w:w="112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50%</w:t>
            </w:r>
          </w:p>
        </w:tc>
        <w:tc>
          <w:tcPr>
            <w:tcW w:w="1147" w:type="dxa"/>
            <w:tcBorders>
              <w:top w:val="single" w:sz="8" w:space="0" w:color="000000"/>
              <w:left w:val="single" w:sz="8" w:space="0" w:color="000000"/>
              <w:bottom w:val="single" w:sz="8" w:space="0" w:color="000000"/>
              <w:right w:val="single" w:sz="8" w:space="0" w:color="000000"/>
            </w:tcBorders>
            <w:shd w:val="clear" w:color="auto" w:fill="F0B57A"/>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60%</w:t>
            </w:r>
          </w:p>
        </w:tc>
        <w:tc>
          <w:tcPr>
            <w:tcW w:w="1275" w:type="dxa"/>
            <w:tcBorders>
              <w:top w:val="single" w:sz="8" w:space="0" w:color="000000"/>
              <w:left w:val="single" w:sz="8" w:space="0" w:color="000000"/>
              <w:bottom w:val="single" w:sz="8" w:space="0" w:color="000000"/>
              <w:right w:val="single" w:sz="8" w:space="0" w:color="000000"/>
            </w:tcBorders>
            <w:shd w:val="clear" w:color="auto" w:fill="E68422"/>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70%</w:t>
            </w:r>
          </w:p>
        </w:tc>
        <w:tc>
          <w:tcPr>
            <w:tcW w:w="1134" w:type="dxa"/>
            <w:tcBorders>
              <w:top w:val="single" w:sz="8" w:space="0" w:color="000000"/>
              <w:left w:val="single" w:sz="8" w:space="0" w:color="000000"/>
              <w:bottom w:val="single" w:sz="8" w:space="0" w:color="000000"/>
              <w:right w:val="single" w:sz="8" w:space="0" w:color="000000"/>
            </w:tcBorders>
            <w:shd w:val="clear" w:color="auto" w:fill="E68422"/>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80%</w:t>
            </w:r>
          </w:p>
        </w:tc>
        <w:tc>
          <w:tcPr>
            <w:tcW w:w="140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90%</w:t>
            </w:r>
          </w:p>
        </w:tc>
      </w:tr>
      <w:tr w:rsidR="00D624E9" w:rsidRPr="00650CDF" w:rsidTr="00DE12F8">
        <w:trPr>
          <w:trHeight w:val="584"/>
        </w:trPr>
        <w:tc>
          <w:tcPr>
            <w:tcW w:w="570" w:type="dxa"/>
            <w:vMerge/>
            <w:tcBorders>
              <w:left w:val="single" w:sz="8" w:space="0" w:color="000000"/>
              <w:right w:val="single" w:sz="8" w:space="0" w:color="000000"/>
            </w:tcBorders>
            <w:shd w:val="clear" w:color="auto" w:fill="CBCBCB"/>
          </w:tcPr>
          <w:p w:rsidR="00D624E9" w:rsidRPr="00650CDF" w:rsidRDefault="00D624E9" w:rsidP="00650CDF">
            <w:pPr>
              <w:spacing w:after="0" w:line="240" w:lineRule="auto"/>
              <w:jc w:val="both"/>
              <w:rPr>
                <w:rFonts w:ascii="Arial" w:eastAsia="Times New Roman" w:hAnsi="Arial" w:cs="Arial"/>
                <w:color w:val="000000" w:themeColor="dark1"/>
                <w:kern w:val="24"/>
                <w:sz w:val="24"/>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b/>
                <w:sz w:val="20"/>
                <w:szCs w:val="20"/>
                <w:lang w:eastAsia="en-GB"/>
              </w:rPr>
            </w:pPr>
            <w:r w:rsidRPr="00DE12F8">
              <w:rPr>
                <w:rFonts w:ascii="Arial" w:eastAsia="Times New Roman" w:hAnsi="Arial" w:cs="Arial"/>
                <w:b/>
                <w:color w:val="000000" w:themeColor="dark1"/>
                <w:kern w:val="24"/>
                <w:sz w:val="20"/>
                <w:szCs w:val="20"/>
                <w:lang w:eastAsia="en-GB"/>
              </w:rPr>
              <w:t>Moderate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40%</w:t>
            </w:r>
          </w:p>
        </w:tc>
        <w:tc>
          <w:tcPr>
            <w:tcW w:w="1147" w:type="dxa"/>
            <w:tcBorders>
              <w:top w:val="single" w:sz="8" w:space="0" w:color="000000"/>
              <w:left w:val="single" w:sz="8" w:space="0" w:color="000000"/>
              <w:bottom w:val="single" w:sz="8" w:space="0" w:color="000000"/>
              <w:right w:val="single" w:sz="8" w:space="0" w:color="000000"/>
            </w:tcBorders>
            <w:shd w:val="clear" w:color="auto" w:fill="ABD958"/>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50%</w:t>
            </w:r>
          </w:p>
        </w:tc>
        <w:tc>
          <w:tcPr>
            <w:tcW w:w="1275" w:type="dxa"/>
            <w:tcBorders>
              <w:top w:val="single" w:sz="8" w:space="0" w:color="000000"/>
              <w:left w:val="single" w:sz="8" w:space="0" w:color="000000"/>
              <w:bottom w:val="single" w:sz="8" w:space="0" w:color="000000"/>
              <w:right w:val="single" w:sz="8" w:space="0" w:color="000000"/>
            </w:tcBorders>
            <w:shd w:val="clear" w:color="auto" w:fill="F0B57A"/>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60%</w:t>
            </w:r>
          </w:p>
        </w:tc>
        <w:tc>
          <w:tcPr>
            <w:tcW w:w="1134" w:type="dxa"/>
            <w:tcBorders>
              <w:top w:val="single" w:sz="8" w:space="0" w:color="000000"/>
              <w:left w:val="single" w:sz="8" w:space="0" w:color="000000"/>
              <w:bottom w:val="single" w:sz="8" w:space="0" w:color="000000"/>
              <w:right w:val="single" w:sz="8" w:space="0" w:color="000000"/>
            </w:tcBorders>
            <w:shd w:val="clear" w:color="auto" w:fill="E68422"/>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70%</w:t>
            </w:r>
          </w:p>
        </w:tc>
        <w:tc>
          <w:tcPr>
            <w:tcW w:w="1405" w:type="dxa"/>
            <w:tcBorders>
              <w:top w:val="single" w:sz="8" w:space="0" w:color="000000"/>
              <w:left w:val="single" w:sz="8" w:space="0" w:color="000000"/>
              <w:bottom w:val="single" w:sz="8" w:space="0" w:color="000000"/>
              <w:right w:val="single" w:sz="8" w:space="0" w:color="000000"/>
            </w:tcBorders>
            <w:shd w:val="clear" w:color="auto" w:fill="E68422"/>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80%</w:t>
            </w:r>
          </w:p>
        </w:tc>
      </w:tr>
      <w:tr w:rsidR="00D624E9" w:rsidRPr="00650CDF" w:rsidTr="00DE12F8">
        <w:trPr>
          <w:trHeight w:val="584"/>
        </w:trPr>
        <w:tc>
          <w:tcPr>
            <w:tcW w:w="570" w:type="dxa"/>
            <w:vMerge/>
            <w:tcBorders>
              <w:left w:val="single" w:sz="8" w:space="0" w:color="000000"/>
              <w:right w:val="single" w:sz="8" w:space="0" w:color="000000"/>
            </w:tcBorders>
            <w:shd w:val="clear" w:color="auto" w:fill="E7E7E7"/>
          </w:tcPr>
          <w:p w:rsidR="00D624E9" w:rsidRPr="00650CDF" w:rsidRDefault="00D624E9" w:rsidP="00650CDF">
            <w:pPr>
              <w:spacing w:after="0" w:line="240" w:lineRule="auto"/>
              <w:jc w:val="both"/>
              <w:rPr>
                <w:rFonts w:ascii="Arial" w:eastAsia="Times New Roman" w:hAnsi="Arial" w:cs="Arial"/>
                <w:color w:val="000000" w:themeColor="dark1"/>
                <w:kern w:val="24"/>
                <w:sz w:val="24"/>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b/>
                <w:sz w:val="20"/>
                <w:szCs w:val="20"/>
                <w:lang w:eastAsia="en-GB"/>
              </w:rPr>
            </w:pPr>
            <w:r w:rsidRPr="00DE12F8">
              <w:rPr>
                <w:rFonts w:ascii="Arial" w:eastAsia="Times New Roman" w:hAnsi="Arial" w:cs="Arial"/>
                <w:b/>
                <w:color w:val="000000" w:themeColor="dark1"/>
                <w:kern w:val="24"/>
                <w:sz w:val="20"/>
                <w:szCs w:val="20"/>
                <w:lang w:eastAsia="en-GB"/>
              </w:rPr>
              <w:t>Minor</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2</w:t>
            </w:r>
          </w:p>
        </w:tc>
        <w:tc>
          <w:tcPr>
            <w:tcW w:w="1121"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30%</w:t>
            </w:r>
          </w:p>
        </w:tc>
        <w:tc>
          <w:tcPr>
            <w:tcW w:w="1147" w:type="dxa"/>
            <w:tcBorders>
              <w:top w:val="single" w:sz="8" w:space="0" w:color="000000"/>
              <w:left w:val="single" w:sz="8" w:space="0" w:color="000000"/>
              <w:bottom w:val="single" w:sz="8" w:space="0" w:color="000000"/>
              <w:right w:val="single" w:sz="8" w:space="0" w:color="000000"/>
            </w:tcBorders>
            <w:shd w:val="clear" w:color="auto" w:fill="ABD958"/>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0B57A"/>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60%</w:t>
            </w:r>
          </w:p>
        </w:tc>
        <w:tc>
          <w:tcPr>
            <w:tcW w:w="1405" w:type="dxa"/>
            <w:tcBorders>
              <w:top w:val="single" w:sz="8" w:space="0" w:color="000000"/>
              <w:left w:val="single" w:sz="8" w:space="0" w:color="000000"/>
              <w:bottom w:val="single" w:sz="8" w:space="0" w:color="000000"/>
              <w:right w:val="single" w:sz="8" w:space="0" w:color="000000"/>
            </w:tcBorders>
            <w:shd w:val="clear" w:color="auto" w:fill="E68422"/>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70%</w:t>
            </w:r>
          </w:p>
        </w:tc>
      </w:tr>
      <w:tr w:rsidR="00D624E9" w:rsidRPr="00650CDF" w:rsidTr="00DE12F8">
        <w:trPr>
          <w:trHeight w:val="584"/>
        </w:trPr>
        <w:tc>
          <w:tcPr>
            <w:tcW w:w="570" w:type="dxa"/>
            <w:vMerge/>
            <w:tcBorders>
              <w:left w:val="single" w:sz="8" w:space="0" w:color="000000"/>
              <w:bottom w:val="single" w:sz="8" w:space="0" w:color="000000"/>
              <w:right w:val="single" w:sz="8" w:space="0" w:color="000000"/>
            </w:tcBorders>
            <w:shd w:val="clear" w:color="auto" w:fill="CBCBCB"/>
          </w:tcPr>
          <w:p w:rsidR="00D624E9" w:rsidRPr="00650CDF" w:rsidRDefault="00D624E9" w:rsidP="00650CDF">
            <w:pPr>
              <w:spacing w:after="0" w:line="240" w:lineRule="auto"/>
              <w:jc w:val="both"/>
              <w:rPr>
                <w:rFonts w:ascii="Arial" w:eastAsia="Times New Roman" w:hAnsi="Arial" w:cs="Arial"/>
                <w:color w:val="000000" w:themeColor="dark1"/>
                <w:kern w:val="24"/>
                <w:sz w:val="24"/>
                <w:szCs w:val="24"/>
                <w:lang w:eastAsia="en-GB"/>
              </w:rPr>
            </w:pPr>
          </w:p>
        </w:tc>
        <w:tc>
          <w:tcPr>
            <w:tcW w:w="170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b/>
                <w:sz w:val="20"/>
                <w:szCs w:val="20"/>
                <w:lang w:eastAsia="en-GB"/>
              </w:rPr>
            </w:pPr>
            <w:r w:rsidRPr="00DE12F8">
              <w:rPr>
                <w:rFonts w:ascii="Arial" w:eastAsia="Times New Roman" w:hAnsi="Arial" w:cs="Arial"/>
                <w:b/>
                <w:color w:val="000000" w:themeColor="dark1"/>
                <w:kern w:val="24"/>
                <w:sz w:val="20"/>
                <w:szCs w:val="20"/>
                <w:lang w:eastAsia="en-GB"/>
              </w:rPr>
              <w:t>Insignificant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1</w:t>
            </w:r>
          </w:p>
        </w:tc>
        <w:tc>
          <w:tcPr>
            <w:tcW w:w="1121"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20%</w:t>
            </w:r>
          </w:p>
        </w:tc>
        <w:tc>
          <w:tcPr>
            <w:tcW w:w="1147"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30%</w:t>
            </w:r>
          </w:p>
        </w:tc>
        <w:tc>
          <w:tcPr>
            <w:tcW w:w="127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40%</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50%</w:t>
            </w:r>
          </w:p>
        </w:tc>
        <w:tc>
          <w:tcPr>
            <w:tcW w:w="1405" w:type="dxa"/>
            <w:tcBorders>
              <w:top w:val="single" w:sz="8" w:space="0" w:color="000000"/>
              <w:left w:val="single" w:sz="8" w:space="0" w:color="000000"/>
              <w:bottom w:val="single" w:sz="8" w:space="0" w:color="000000"/>
              <w:right w:val="single" w:sz="8" w:space="0" w:color="000000"/>
            </w:tcBorders>
            <w:shd w:val="clear" w:color="auto" w:fill="F0B57A"/>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60%</w:t>
            </w:r>
          </w:p>
        </w:tc>
      </w:tr>
      <w:tr w:rsidR="00D624E9" w:rsidRPr="00650CDF" w:rsidTr="00DE12F8">
        <w:trPr>
          <w:trHeight w:val="337"/>
        </w:trPr>
        <w:tc>
          <w:tcPr>
            <w:tcW w:w="570" w:type="dxa"/>
            <w:tcBorders>
              <w:top w:val="single" w:sz="8" w:space="0" w:color="000000"/>
              <w:left w:val="nil"/>
              <w:bottom w:val="nil"/>
              <w:right w:val="nil"/>
            </w:tcBorders>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567"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1</w:t>
            </w:r>
          </w:p>
        </w:tc>
        <w:tc>
          <w:tcPr>
            <w:tcW w:w="11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4</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4E9" w:rsidRPr="00650CDF" w:rsidRDefault="00D624E9" w:rsidP="00650CDF">
            <w:pPr>
              <w:spacing w:after="0" w:line="240" w:lineRule="auto"/>
              <w:jc w:val="both"/>
              <w:rPr>
                <w:rFonts w:ascii="Arial" w:eastAsia="Times New Roman" w:hAnsi="Arial" w:cs="Arial"/>
                <w:b/>
                <w:sz w:val="24"/>
                <w:szCs w:val="24"/>
                <w:lang w:eastAsia="en-GB"/>
              </w:rPr>
            </w:pPr>
            <w:r w:rsidRPr="00650CDF">
              <w:rPr>
                <w:rFonts w:ascii="Arial" w:eastAsia="Times New Roman" w:hAnsi="Arial" w:cs="Arial"/>
                <w:b/>
                <w:color w:val="000000" w:themeColor="dark1"/>
                <w:kern w:val="24"/>
                <w:sz w:val="24"/>
                <w:szCs w:val="24"/>
                <w:lang w:eastAsia="en-GB"/>
              </w:rPr>
              <w:t>5</w:t>
            </w:r>
          </w:p>
        </w:tc>
      </w:tr>
      <w:tr w:rsidR="00D624E9" w:rsidRPr="00650CDF" w:rsidTr="00DE12F8">
        <w:trPr>
          <w:trHeight w:val="584"/>
        </w:trPr>
        <w:tc>
          <w:tcPr>
            <w:tcW w:w="570" w:type="dxa"/>
            <w:tcBorders>
              <w:top w:val="nil"/>
              <w:left w:val="nil"/>
              <w:bottom w:val="nil"/>
              <w:right w:val="nil"/>
            </w:tcBorders>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1701" w:type="dxa"/>
            <w:tcBorders>
              <w:top w:val="nil"/>
              <w:left w:val="nil"/>
              <w:bottom w:val="nil"/>
              <w:right w:val="nil"/>
            </w:tcBorders>
            <w:shd w:val="clear" w:color="auto" w:fill="auto"/>
            <w:tcMar>
              <w:top w:w="72" w:type="dxa"/>
              <w:left w:w="144" w:type="dxa"/>
              <w:bottom w:w="72" w:type="dxa"/>
              <w:right w:w="144" w:type="dxa"/>
            </w:tcMar>
            <w:hideMark/>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567"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112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sz w:val="20"/>
                <w:szCs w:val="20"/>
                <w:lang w:eastAsia="en-GB"/>
              </w:rPr>
            </w:pPr>
            <w:r w:rsidRPr="00DE12F8">
              <w:rPr>
                <w:rFonts w:ascii="Arial" w:eastAsia="Times New Roman" w:hAnsi="Arial" w:cs="Arial"/>
                <w:b/>
                <w:bCs/>
                <w:color w:val="000000" w:themeColor="dark1"/>
                <w:kern w:val="24"/>
                <w:sz w:val="20"/>
                <w:szCs w:val="20"/>
                <w:lang w:eastAsia="en-GB"/>
              </w:rPr>
              <w:t>Very Unlikely</w:t>
            </w:r>
          </w:p>
        </w:tc>
        <w:tc>
          <w:tcPr>
            <w:tcW w:w="11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sz w:val="20"/>
                <w:szCs w:val="20"/>
                <w:lang w:eastAsia="en-GB"/>
              </w:rPr>
            </w:pPr>
            <w:r w:rsidRPr="00DE12F8">
              <w:rPr>
                <w:rFonts w:ascii="Arial" w:eastAsia="Times New Roman" w:hAnsi="Arial" w:cs="Arial"/>
                <w:b/>
                <w:bCs/>
                <w:color w:val="000000" w:themeColor="dark1"/>
                <w:kern w:val="24"/>
                <w:sz w:val="20"/>
                <w:szCs w:val="20"/>
                <w:lang w:eastAsia="en-GB"/>
              </w:rPr>
              <w:t>Unlikely</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sz w:val="20"/>
                <w:szCs w:val="20"/>
                <w:lang w:eastAsia="en-GB"/>
              </w:rPr>
            </w:pPr>
            <w:r w:rsidRPr="00DE12F8">
              <w:rPr>
                <w:rFonts w:ascii="Arial" w:eastAsia="Times New Roman" w:hAnsi="Arial" w:cs="Arial"/>
                <w:b/>
                <w:bCs/>
                <w:color w:val="000000" w:themeColor="dark1"/>
                <w:kern w:val="24"/>
                <w:sz w:val="20"/>
                <w:szCs w:val="20"/>
                <w:lang w:eastAsia="en-GB"/>
              </w:rPr>
              <w:t>Possible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sz w:val="20"/>
                <w:szCs w:val="20"/>
                <w:lang w:eastAsia="en-GB"/>
              </w:rPr>
            </w:pPr>
            <w:r w:rsidRPr="00DE12F8">
              <w:rPr>
                <w:rFonts w:ascii="Arial" w:eastAsia="Times New Roman" w:hAnsi="Arial" w:cs="Arial"/>
                <w:b/>
                <w:bCs/>
                <w:color w:val="000000" w:themeColor="dark1"/>
                <w:kern w:val="24"/>
                <w:sz w:val="20"/>
                <w:szCs w:val="20"/>
                <w:lang w:eastAsia="en-GB"/>
              </w:rPr>
              <w:t>Likely</w:t>
            </w:r>
          </w:p>
        </w:tc>
        <w:tc>
          <w:tcPr>
            <w:tcW w:w="140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hideMark/>
          </w:tcPr>
          <w:p w:rsidR="00D624E9" w:rsidRPr="00DE12F8" w:rsidRDefault="00D624E9" w:rsidP="00650CDF">
            <w:pPr>
              <w:spacing w:after="0" w:line="240" w:lineRule="auto"/>
              <w:jc w:val="both"/>
              <w:rPr>
                <w:rFonts w:ascii="Arial" w:eastAsia="Times New Roman" w:hAnsi="Arial" w:cs="Arial"/>
                <w:sz w:val="20"/>
                <w:szCs w:val="20"/>
                <w:lang w:eastAsia="en-GB"/>
              </w:rPr>
            </w:pPr>
            <w:r w:rsidRPr="00DE12F8">
              <w:rPr>
                <w:rFonts w:ascii="Arial" w:eastAsia="Times New Roman" w:hAnsi="Arial" w:cs="Arial"/>
                <w:b/>
                <w:bCs/>
                <w:color w:val="000000" w:themeColor="dark1"/>
                <w:kern w:val="24"/>
                <w:sz w:val="20"/>
                <w:szCs w:val="20"/>
                <w:lang w:eastAsia="en-GB"/>
              </w:rPr>
              <w:t>Almost Certain</w:t>
            </w:r>
          </w:p>
        </w:tc>
      </w:tr>
      <w:tr w:rsidR="00D624E9" w:rsidRPr="00650CDF" w:rsidTr="00DE12F8">
        <w:trPr>
          <w:trHeight w:val="226"/>
        </w:trPr>
        <w:tc>
          <w:tcPr>
            <w:tcW w:w="570" w:type="dxa"/>
            <w:tcBorders>
              <w:top w:val="nil"/>
              <w:left w:val="nil"/>
              <w:bottom w:val="nil"/>
              <w:right w:val="nil"/>
            </w:tcBorders>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1701" w:type="dxa"/>
            <w:tcBorders>
              <w:top w:val="nil"/>
              <w:left w:val="nil"/>
              <w:bottom w:val="nil"/>
              <w:right w:val="nil"/>
            </w:tcBorders>
            <w:shd w:val="clear" w:color="auto" w:fill="auto"/>
            <w:tcMar>
              <w:top w:w="72" w:type="dxa"/>
              <w:left w:w="144" w:type="dxa"/>
              <w:bottom w:w="72" w:type="dxa"/>
              <w:right w:w="144" w:type="dxa"/>
            </w:tcMar>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567" w:type="dxa"/>
            <w:tcBorders>
              <w:top w:val="nil"/>
              <w:left w:val="nil"/>
              <w:bottom w:val="nil"/>
              <w:right w:val="single" w:sz="8" w:space="0" w:color="000000"/>
            </w:tcBorders>
            <w:shd w:val="clear" w:color="auto" w:fill="auto"/>
            <w:tcMar>
              <w:top w:w="72" w:type="dxa"/>
              <w:left w:w="144" w:type="dxa"/>
              <w:bottom w:w="72" w:type="dxa"/>
              <w:right w:w="144" w:type="dxa"/>
            </w:tcMar>
          </w:tcPr>
          <w:p w:rsidR="00D624E9" w:rsidRPr="00650CDF" w:rsidRDefault="00D624E9" w:rsidP="00650CDF">
            <w:pPr>
              <w:spacing w:after="0" w:line="240" w:lineRule="auto"/>
              <w:jc w:val="both"/>
              <w:rPr>
                <w:rFonts w:ascii="Arial" w:eastAsia="Times New Roman" w:hAnsi="Arial" w:cs="Arial"/>
                <w:sz w:val="24"/>
                <w:szCs w:val="24"/>
                <w:lang w:eastAsia="en-GB"/>
              </w:rPr>
            </w:pPr>
          </w:p>
        </w:tc>
        <w:tc>
          <w:tcPr>
            <w:tcW w:w="6082"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vAlign w:val="center"/>
          </w:tcPr>
          <w:p w:rsidR="00D624E9" w:rsidRPr="00650CDF" w:rsidRDefault="00D624E9" w:rsidP="00650CDF">
            <w:pPr>
              <w:spacing w:after="0" w:line="240" w:lineRule="auto"/>
              <w:jc w:val="both"/>
              <w:rPr>
                <w:rFonts w:ascii="Arial" w:eastAsia="Times New Roman" w:hAnsi="Arial" w:cs="Arial"/>
                <w:b/>
                <w:bCs/>
                <w:color w:val="000000" w:themeColor="dark1"/>
                <w:kern w:val="24"/>
                <w:sz w:val="24"/>
                <w:szCs w:val="24"/>
                <w:lang w:eastAsia="en-GB"/>
              </w:rPr>
            </w:pPr>
            <w:r w:rsidRPr="00650CDF">
              <w:rPr>
                <w:rFonts w:ascii="Arial" w:eastAsia="Times New Roman" w:hAnsi="Arial" w:cs="Arial"/>
                <w:b/>
                <w:bCs/>
                <w:color w:val="000000" w:themeColor="dark1"/>
                <w:kern w:val="24"/>
                <w:sz w:val="24"/>
                <w:szCs w:val="24"/>
                <w:lang w:eastAsia="en-GB"/>
              </w:rPr>
              <w:t>Probability</w:t>
            </w:r>
          </w:p>
        </w:tc>
      </w:tr>
    </w:tbl>
    <w:p w:rsidR="00D624E9" w:rsidRDefault="00D624E9" w:rsidP="00650CDF">
      <w:pPr>
        <w:autoSpaceDE w:val="0"/>
        <w:autoSpaceDN w:val="0"/>
        <w:adjustRightInd w:val="0"/>
        <w:spacing w:after="0" w:line="240" w:lineRule="auto"/>
        <w:jc w:val="both"/>
        <w:rPr>
          <w:rFonts w:ascii="Arial" w:hAnsi="Arial" w:cs="Arial"/>
          <w:b/>
          <w:sz w:val="24"/>
          <w:szCs w:val="24"/>
        </w:rPr>
      </w:pPr>
    </w:p>
    <w:tbl>
      <w:tblPr>
        <w:tblW w:w="8060" w:type="dxa"/>
        <w:tblInd w:w="1304" w:type="dxa"/>
        <w:tblCellMar>
          <w:left w:w="0" w:type="dxa"/>
          <w:right w:w="0" w:type="dxa"/>
        </w:tblCellMar>
        <w:tblLook w:val="0420" w:firstRow="1" w:lastRow="0" w:firstColumn="0" w:lastColumn="0" w:noHBand="0" w:noVBand="1"/>
      </w:tblPr>
      <w:tblGrid>
        <w:gridCol w:w="1702"/>
        <w:gridCol w:w="6358"/>
      </w:tblGrid>
      <w:tr w:rsidR="00D624E9" w:rsidRPr="00650CDF" w:rsidTr="002C44C6">
        <w:trPr>
          <w:trHeight w:val="255"/>
        </w:trPr>
        <w:tc>
          <w:tcPr>
            <w:tcW w:w="80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b/>
                <w:sz w:val="24"/>
                <w:szCs w:val="24"/>
              </w:rPr>
              <w:t>Key</w:t>
            </w:r>
          </w:p>
        </w:tc>
      </w:tr>
      <w:tr w:rsidR="00D624E9" w:rsidRPr="00650CDF" w:rsidTr="0052788A">
        <w:trPr>
          <w:trHeight w:val="584"/>
        </w:trPr>
        <w:tc>
          <w:tcPr>
            <w:tcW w:w="170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b/>
                <w:sz w:val="24"/>
                <w:szCs w:val="24"/>
              </w:rPr>
              <w:t>Severe</w:t>
            </w:r>
          </w:p>
        </w:tc>
        <w:tc>
          <w:tcPr>
            <w:tcW w:w="6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Unacceptable level of risk exposure which requires immediate corrective action to be taken.</w:t>
            </w:r>
          </w:p>
        </w:tc>
      </w:tr>
      <w:tr w:rsidR="00D624E9" w:rsidRPr="00650CDF" w:rsidTr="0052788A">
        <w:trPr>
          <w:trHeight w:val="584"/>
        </w:trPr>
        <w:tc>
          <w:tcPr>
            <w:tcW w:w="1702" w:type="dxa"/>
            <w:tcBorders>
              <w:top w:val="single" w:sz="8" w:space="0" w:color="000000"/>
              <w:left w:val="single" w:sz="8" w:space="0" w:color="000000"/>
              <w:bottom w:val="single" w:sz="8" w:space="0" w:color="000000"/>
              <w:right w:val="single" w:sz="8" w:space="0" w:color="000000"/>
            </w:tcBorders>
            <w:shd w:val="clear" w:color="auto" w:fill="E68422"/>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b/>
                <w:sz w:val="24"/>
                <w:szCs w:val="24"/>
              </w:rPr>
              <w:t>Major</w:t>
            </w:r>
          </w:p>
        </w:tc>
        <w:tc>
          <w:tcPr>
            <w:tcW w:w="6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Unacceptable level of risk exposure which requires constant active monitoring and measures to be put in place to reduce exposure.</w:t>
            </w:r>
          </w:p>
        </w:tc>
      </w:tr>
      <w:tr w:rsidR="00D624E9" w:rsidRPr="00650CDF" w:rsidTr="0052788A">
        <w:trPr>
          <w:trHeight w:val="584"/>
        </w:trPr>
        <w:tc>
          <w:tcPr>
            <w:tcW w:w="1702" w:type="dxa"/>
            <w:tcBorders>
              <w:top w:val="single" w:sz="8" w:space="0" w:color="000000"/>
              <w:left w:val="single" w:sz="8" w:space="0" w:color="000000"/>
              <w:bottom w:val="single" w:sz="8" w:space="0" w:color="000000"/>
              <w:right w:val="single" w:sz="8" w:space="0" w:color="000000"/>
            </w:tcBorders>
            <w:shd w:val="clear" w:color="auto" w:fill="F0B57A"/>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b/>
                <w:sz w:val="24"/>
                <w:szCs w:val="24"/>
              </w:rPr>
              <w:t>Moderate</w:t>
            </w:r>
          </w:p>
        </w:tc>
        <w:tc>
          <w:tcPr>
            <w:tcW w:w="6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Acceptable level of risk exposure subject to regular active monitoring measures.</w:t>
            </w:r>
          </w:p>
        </w:tc>
      </w:tr>
      <w:tr w:rsidR="00D624E9" w:rsidRPr="00650CDF" w:rsidTr="0052788A">
        <w:trPr>
          <w:trHeight w:val="584"/>
        </w:trPr>
        <w:tc>
          <w:tcPr>
            <w:tcW w:w="1702" w:type="dxa"/>
            <w:tcBorders>
              <w:top w:val="single" w:sz="8" w:space="0" w:color="000000"/>
              <w:left w:val="single" w:sz="8" w:space="0" w:color="000000"/>
              <w:bottom w:val="single" w:sz="8" w:space="0" w:color="000000"/>
              <w:right w:val="single" w:sz="8" w:space="0" w:color="000000"/>
            </w:tcBorders>
            <w:shd w:val="clear" w:color="auto" w:fill="ABD958"/>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b/>
                <w:sz w:val="24"/>
                <w:szCs w:val="24"/>
              </w:rPr>
              <w:t>Minor</w:t>
            </w:r>
          </w:p>
        </w:tc>
        <w:tc>
          <w:tcPr>
            <w:tcW w:w="6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Acceptable level of risk subject to regular passive monitoring measures.</w:t>
            </w:r>
          </w:p>
        </w:tc>
      </w:tr>
      <w:tr w:rsidR="00D624E9" w:rsidRPr="00650CDF" w:rsidTr="0052788A">
        <w:trPr>
          <w:trHeight w:val="584"/>
        </w:trPr>
        <w:tc>
          <w:tcPr>
            <w:tcW w:w="1702"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b/>
                <w:sz w:val="24"/>
                <w:szCs w:val="24"/>
              </w:rPr>
              <w:t>Insignificant</w:t>
            </w:r>
          </w:p>
        </w:tc>
        <w:tc>
          <w:tcPr>
            <w:tcW w:w="6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24E9" w:rsidRPr="00650CDF" w:rsidRDefault="00D624E9"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Acceptable level of risk subject to periodic passive monitoring measures.</w:t>
            </w:r>
          </w:p>
        </w:tc>
      </w:tr>
    </w:tbl>
    <w:p w:rsidR="00D624E9" w:rsidRDefault="00D624E9" w:rsidP="00650CDF">
      <w:pPr>
        <w:autoSpaceDE w:val="0"/>
        <w:autoSpaceDN w:val="0"/>
        <w:adjustRightInd w:val="0"/>
        <w:spacing w:after="0" w:line="240" w:lineRule="auto"/>
        <w:jc w:val="both"/>
        <w:rPr>
          <w:rFonts w:ascii="Arial" w:hAnsi="Arial" w:cs="Arial"/>
          <w:b/>
          <w:sz w:val="24"/>
          <w:szCs w:val="24"/>
        </w:rPr>
      </w:pPr>
    </w:p>
    <w:p w:rsidR="00D624E9" w:rsidRPr="00650CDF" w:rsidRDefault="00DC0CC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3.15</w:t>
      </w:r>
      <w:r w:rsidRPr="00650CDF">
        <w:rPr>
          <w:rFonts w:ascii="Arial" w:hAnsi="Arial" w:cs="Arial"/>
          <w:sz w:val="24"/>
          <w:szCs w:val="24"/>
        </w:rPr>
        <w:tab/>
      </w:r>
      <w:r w:rsidR="00D624E9" w:rsidRPr="00650CDF">
        <w:rPr>
          <w:rFonts w:ascii="Arial" w:hAnsi="Arial" w:cs="Arial"/>
          <w:sz w:val="24"/>
          <w:szCs w:val="24"/>
        </w:rPr>
        <w:t xml:space="preserve">The risk appetite is monitored by the inherent and the residual risk assessment figures. Generally the </w:t>
      </w:r>
      <w:r w:rsidR="002C44C6" w:rsidRPr="00650CDF">
        <w:rPr>
          <w:rFonts w:ascii="Arial" w:hAnsi="Arial" w:cs="Arial"/>
          <w:sz w:val="24"/>
          <w:szCs w:val="24"/>
        </w:rPr>
        <w:t>Group</w:t>
      </w:r>
      <w:r w:rsidR="00D624E9" w:rsidRPr="00650CDF">
        <w:rPr>
          <w:rFonts w:ascii="Arial" w:hAnsi="Arial" w:cs="Arial"/>
          <w:sz w:val="24"/>
          <w:szCs w:val="24"/>
        </w:rPr>
        <w:t xml:space="preserve"> will manage closely all residual risks scoring 60+ and will not wish to tolerate risks scoring 90+. The </w:t>
      </w:r>
      <w:r w:rsidR="002C44C6" w:rsidRPr="00650CDF">
        <w:rPr>
          <w:rFonts w:ascii="Arial" w:hAnsi="Arial" w:cs="Arial"/>
          <w:sz w:val="24"/>
          <w:szCs w:val="24"/>
        </w:rPr>
        <w:t>Group</w:t>
      </w:r>
      <w:r w:rsidR="00D624E9" w:rsidRPr="00650CDF">
        <w:rPr>
          <w:rFonts w:ascii="Arial" w:hAnsi="Arial" w:cs="Arial"/>
          <w:sz w:val="24"/>
          <w:szCs w:val="24"/>
        </w:rPr>
        <w:t xml:space="preserve">’s risk appetite is not necessarily static. The Management Committee </w:t>
      </w:r>
      <w:r w:rsidRPr="00650CDF">
        <w:rPr>
          <w:rFonts w:ascii="Arial" w:hAnsi="Arial" w:cs="Arial"/>
          <w:sz w:val="24"/>
          <w:szCs w:val="24"/>
        </w:rPr>
        <w:t xml:space="preserve">and subsidiary Board </w:t>
      </w:r>
      <w:r w:rsidR="00D624E9" w:rsidRPr="00650CDF">
        <w:rPr>
          <w:rFonts w:ascii="Arial" w:hAnsi="Arial" w:cs="Arial"/>
          <w:sz w:val="24"/>
          <w:szCs w:val="24"/>
        </w:rPr>
        <w:t xml:space="preserve">may vary the amount of risk which it is prepared to take depending on the circumstances surrounding the specific risk area. </w:t>
      </w:r>
    </w:p>
    <w:p w:rsidR="00D624E9" w:rsidRPr="00650CDF" w:rsidRDefault="00D624E9" w:rsidP="00650CDF">
      <w:pPr>
        <w:autoSpaceDE w:val="0"/>
        <w:autoSpaceDN w:val="0"/>
        <w:adjustRightInd w:val="0"/>
        <w:spacing w:after="0" w:line="240" w:lineRule="auto"/>
        <w:jc w:val="both"/>
        <w:rPr>
          <w:rFonts w:ascii="Arial" w:hAnsi="Arial" w:cs="Arial"/>
          <w:sz w:val="24"/>
          <w:szCs w:val="24"/>
        </w:rPr>
      </w:pPr>
    </w:p>
    <w:p w:rsidR="00D624E9" w:rsidRPr="00650CDF" w:rsidRDefault="002C44C6"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w:t>
      </w:r>
      <w:r w:rsidR="00DC0CC1" w:rsidRPr="00650CDF">
        <w:rPr>
          <w:rFonts w:ascii="Arial" w:hAnsi="Arial" w:cs="Arial"/>
          <w:sz w:val="24"/>
          <w:szCs w:val="24"/>
        </w:rPr>
        <w:t>16</w:t>
      </w:r>
      <w:r w:rsidRPr="00650CDF">
        <w:rPr>
          <w:rFonts w:ascii="Arial" w:hAnsi="Arial" w:cs="Arial"/>
          <w:sz w:val="24"/>
          <w:szCs w:val="24"/>
        </w:rPr>
        <w:tab/>
      </w:r>
      <w:r w:rsidR="00D624E9" w:rsidRPr="00650CDF">
        <w:rPr>
          <w:rFonts w:ascii="Arial" w:hAnsi="Arial" w:cs="Arial"/>
          <w:sz w:val="24"/>
          <w:szCs w:val="24"/>
        </w:rPr>
        <w:t xml:space="preserve">The Management Committee </w:t>
      </w:r>
      <w:r w:rsidR="00DC0CC1" w:rsidRPr="00650CDF">
        <w:rPr>
          <w:rFonts w:ascii="Arial" w:hAnsi="Arial" w:cs="Arial"/>
          <w:sz w:val="24"/>
          <w:szCs w:val="24"/>
        </w:rPr>
        <w:t xml:space="preserve">and subsidiary Board </w:t>
      </w:r>
      <w:r w:rsidR="00D624E9" w:rsidRPr="00650CDF">
        <w:rPr>
          <w:rFonts w:ascii="Arial" w:hAnsi="Arial" w:cs="Arial"/>
          <w:sz w:val="24"/>
          <w:szCs w:val="24"/>
        </w:rPr>
        <w:t xml:space="preserve">shall focus on the monitoring of risks which are seen to have the greatest impact on the business, notably those with inherent risks greater than 60%. The Management Committee has also given delegated authority to the Audit Sub-committee to review and monitor the risk register in its entirety and make recommendations as required. </w:t>
      </w:r>
    </w:p>
    <w:p w:rsidR="00DC0CC1" w:rsidRPr="00650CDF" w:rsidRDefault="00DC0CC1" w:rsidP="00650CDF">
      <w:pPr>
        <w:autoSpaceDE w:val="0"/>
        <w:autoSpaceDN w:val="0"/>
        <w:adjustRightInd w:val="0"/>
        <w:spacing w:after="0" w:line="240" w:lineRule="auto"/>
        <w:ind w:left="720" w:hanging="720"/>
        <w:jc w:val="both"/>
        <w:rPr>
          <w:rFonts w:ascii="Arial" w:hAnsi="Arial" w:cs="Arial"/>
          <w:sz w:val="24"/>
          <w:szCs w:val="24"/>
        </w:rPr>
      </w:pPr>
    </w:p>
    <w:p w:rsidR="00DC0CC1" w:rsidRPr="00650CDF" w:rsidRDefault="00DC0CC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3.17</w:t>
      </w:r>
      <w:r w:rsidRPr="00650CDF">
        <w:rPr>
          <w:rFonts w:ascii="Arial" w:hAnsi="Arial" w:cs="Arial"/>
          <w:sz w:val="24"/>
          <w:szCs w:val="24"/>
        </w:rPr>
        <w:tab/>
        <w:t xml:space="preserve">Further detail of the risk descriptors are highlighted at </w:t>
      </w:r>
      <w:r w:rsidRPr="00650CDF">
        <w:rPr>
          <w:rFonts w:ascii="Arial" w:hAnsi="Arial" w:cs="Arial"/>
          <w:b/>
          <w:sz w:val="24"/>
          <w:szCs w:val="24"/>
        </w:rPr>
        <w:t>Appendix 2</w:t>
      </w:r>
      <w:r w:rsidRPr="00650CDF">
        <w:rPr>
          <w:rFonts w:ascii="Arial" w:hAnsi="Arial" w:cs="Arial"/>
          <w:sz w:val="24"/>
          <w:szCs w:val="24"/>
        </w:rPr>
        <w:t xml:space="preserve"> </w:t>
      </w:r>
      <w:r w:rsidR="004428A8" w:rsidRPr="00650CDF">
        <w:rPr>
          <w:rFonts w:ascii="Arial" w:hAnsi="Arial" w:cs="Arial"/>
          <w:sz w:val="24"/>
          <w:szCs w:val="24"/>
        </w:rPr>
        <w:t xml:space="preserve">and details of the key components attached to Risk Management are attached at </w:t>
      </w:r>
      <w:r w:rsidR="004428A8" w:rsidRPr="00650CDF">
        <w:rPr>
          <w:rFonts w:ascii="Arial" w:hAnsi="Arial" w:cs="Arial"/>
          <w:b/>
          <w:sz w:val="24"/>
          <w:szCs w:val="24"/>
        </w:rPr>
        <w:t xml:space="preserve">Appendix 3 </w:t>
      </w:r>
      <w:r w:rsidR="004428A8" w:rsidRPr="00650CDF">
        <w:rPr>
          <w:rFonts w:ascii="Arial" w:hAnsi="Arial" w:cs="Arial"/>
          <w:sz w:val="24"/>
          <w:szCs w:val="24"/>
        </w:rPr>
        <w:t>of this Policy</w:t>
      </w:r>
      <w:r w:rsidRPr="00650CDF">
        <w:rPr>
          <w:rFonts w:ascii="Arial" w:hAnsi="Arial" w:cs="Arial"/>
          <w:sz w:val="24"/>
          <w:szCs w:val="24"/>
        </w:rPr>
        <w:t>.</w:t>
      </w:r>
    </w:p>
    <w:p w:rsidR="00D624E9" w:rsidRPr="00650CDF" w:rsidRDefault="00D624E9" w:rsidP="00650CDF">
      <w:pPr>
        <w:autoSpaceDE w:val="0"/>
        <w:autoSpaceDN w:val="0"/>
        <w:adjustRightInd w:val="0"/>
        <w:spacing w:after="0" w:line="240" w:lineRule="auto"/>
        <w:ind w:left="720" w:hanging="720"/>
        <w:jc w:val="both"/>
        <w:rPr>
          <w:rFonts w:ascii="Arial" w:hAnsi="Arial" w:cs="Arial"/>
          <w:sz w:val="24"/>
          <w:szCs w:val="24"/>
        </w:rPr>
      </w:pPr>
    </w:p>
    <w:p w:rsidR="002C44C6" w:rsidRPr="00650CDF" w:rsidRDefault="002C44C6" w:rsidP="00650CDF">
      <w:pPr>
        <w:autoSpaceDE w:val="0"/>
        <w:autoSpaceDN w:val="0"/>
        <w:adjustRightInd w:val="0"/>
        <w:spacing w:after="0" w:line="240" w:lineRule="auto"/>
        <w:ind w:left="720" w:hanging="720"/>
        <w:jc w:val="both"/>
        <w:rPr>
          <w:rFonts w:ascii="Arial" w:hAnsi="Arial" w:cs="Arial"/>
          <w:sz w:val="24"/>
          <w:szCs w:val="24"/>
        </w:rPr>
      </w:pPr>
    </w:p>
    <w:p w:rsidR="002C44C6" w:rsidRPr="00650CDF" w:rsidRDefault="00A96F50" w:rsidP="00650CDF">
      <w:pPr>
        <w:pStyle w:val="Heading2"/>
        <w:numPr>
          <w:ilvl w:val="0"/>
          <w:numId w:val="5"/>
        </w:numPr>
        <w:spacing w:before="0"/>
        <w:jc w:val="both"/>
        <w:rPr>
          <w:rFonts w:ascii="Arial" w:hAnsi="Arial" w:cs="Arial"/>
          <w:noProof/>
          <w:sz w:val="24"/>
          <w:szCs w:val="24"/>
          <w:lang w:eastAsia="en-GB"/>
        </w:rPr>
      </w:pPr>
      <w:r w:rsidRPr="00650CDF">
        <w:rPr>
          <w:rFonts w:ascii="Arial" w:hAnsi="Arial" w:cs="Arial"/>
          <w:noProof/>
          <w:sz w:val="24"/>
          <w:szCs w:val="24"/>
          <w:lang w:eastAsia="en-GB"/>
        </w:rPr>
        <w:t>Risk Monitoring and Review</w:t>
      </w:r>
    </w:p>
    <w:p w:rsidR="002C44C6" w:rsidRPr="00650CDF" w:rsidRDefault="002C44C6" w:rsidP="00650CDF">
      <w:pPr>
        <w:autoSpaceDE w:val="0"/>
        <w:autoSpaceDN w:val="0"/>
        <w:adjustRightInd w:val="0"/>
        <w:spacing w:after="0" w:line="240" w:lineRule="auto"/>
        <w:jc w:val="both"/>
        <w:rPr>
          <w:rFonts w:ascii="Arial" w:hAnsi="Arial" w:cs="Arial"/>
          <w:sz w:val="24"/>
          <w:szCs w:val="24"/>
        </w:rPr>
      </w:pPr>
    </w:p>
    <w:p w:rsidR="00723D4D" w:rsidRPr="00650CDF" w:rsidRDefault="002C44C6"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4.1</w:t>
      </w:r>
      <w:r w:rsidRPr="00650CDF">
        <w:rPr>
          <w:rFonts w:ascii="Arial" w:hAnsi="Arial" w:cs="Arial"/>
          <w:sz w:val="24"/>
          <w:szCs w:val="24"/>
        </w:rPr>
        <w:tab/>
      </w:r>
      <w:r w:rsidR="00723D4D" w:rsidRPr="00650CDF">
        <w:rPr>
          <w:rFonts w:ascii="Arial" w:hAnsi="Arial" w:cs="Arial"/>
          <w:sz w:val="24"/>
          <w:szCs w:val="24"/>
        </w:rPr>
        <w:t>It is the responsibility of the Executive and Senior Management Teams to ensure that timely and accurate risk and assurance reporting processes are operated and that the Management Committee and Govan HOME Team Board are kept fully informed of the key strategic risks faced by the Group and of the risk actions being taken/implemented to address them.</w:t>
      </w:r>
    </w:p>
    <w:p w:rsidR="00723D4D"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p>
    <w:p w:rsidR="002C44C6"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4.2</w:t>
      </w:r>
      <w:r w:rsidRPr="00650CDF">
        <w:rPr>
          <w:rFonts w:ascii="Arial" w:hAnsi="Arial" w:cs="Arial"/>
          <w:sz w:val="24"/>
          <w:szCs w:val="24"/>
        </w:rPr>
        <w:tab/>
      </w:r>
      <w:r w:rsidR="002C44C6" w:rsidRPr="00650CDF">
        <w:rPr>
          <w:rFonts w:ascii="Arial" w:hAnsi="Arial" w:cs="Arial"/>
          <w:sz w:val="24"/>
          <w:szCs w:val="24"/>
        </w:rPr>
        <w:t xml:space="preserve">Responsibility for each risk must be assigned to an owner who is responsible for ensuring the risk is managed and monitored over time. </w:t>
      </w:r>
    </w:p>
    <w:p w:rsidR="002C44C6" w:rsidRPr="00650CDF" w:rsidRDefault="002C44C6" w:rsidP="00650CDF">
      <w:pPr>
        <w:autoSpaceDE w:val="0"/>
        <w:autoSpaceDN w:val="0"/>
        <w:adjustRightInd w:val="0"/>
        <w:spacing w:after="0" w:line="240" w:lineRule="auto"/>
        <w:jc w:val="both"/>
        <w:rPr>
          <w:rFonts w:ascii="Arial" w:hAnsi="Arial" w:cs="Arial"/>
          <w:sz w:val="24"/>
          <w:szCs w:val="24"/>
        </w:rPr>
      </w:pPr>
    </w:p>
    <w:p w:rsidR="002C44C6" w:rsidRPr="00650CDF" w:rsidRDefault="00723D4D"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4.3</w:t>
      </w:r>
      <w:r w:rsidR="002C44C6" w:rsidRPr="00650CDF">
        <w:rPr>
          <w:rFonts w:ascii="Arial" w:hAnsi="Arial" w:cs="Arial"/>
          <w:b/>
          <w:sz w:val="24"/>
          <w:szCs w:val="24"/>
        </w:rPr>
        <w:tab/>
        <w:t>Risk Register</w:t>
      </w:r>
    </w:p>
    <w:p w:rsidR="002C44C6" w:rsidRPr="00650CDF" w:rsidRDefault="002C44C6" w:rsidP="00650CDF">
      <w:pPr>
        <w:autoSpaceDE w:val="0"/>
        <w:autoSpaceDN w:val="0"/>
        <w:adjustRightInd w:val="0"/>
        <w:spacing w:after="0" w:line="240" w:lineRule="auto"/>
        <w:jc w:val="both"/>
        <w:rPr>
          <w:rFonts w:ascii="Arial" w:hAnsi="Arial" w:cs="Arial"/>
          <w:b/>
          <w:sz w:val="24"/>
          <w:szCs w:val="24"/>
        </w:rPr>
      </w:pPr>
    </w:p>
    <w:p w:rsidR="002C44C6" w:rsidRPr="00650CDF" w:rsidRDefault="002C44C6" w:rsidP="00650CDF">
      <w:pPr>
        <w:autoSpaceDE w:val="0"/>
        <w:autoSpaceDN w:val="0"/>
        <w:adjustRightInd w:val="0"/>
        <w:spacing w:after="0" w:line="240" w:lineRule="auto"/>
        <w:ind w:firstLine="720"/>
        <w:jc w:val="both"/>
        <w:rPr>
          <w:rFonts w:ascii="Arial" w:hAnsi="Arial" w:cs="Arial"/>
          <w:sz w:val="24"/>
          <w:szCs w:val="24"/>
        </w:rPr>
      </w:pPr>
      <w:r w:rsidRPr="00650CDF">
        <w:rPr>
          <w:rFonts w:ascii="Arial" w:hAnsi="Arial" w:cs="Arial"/>
          <w:sz w:val="24"/>
          <w:szCs w:val="24"/>
        </w:rPr>
        <w:t>The risk register documents the risk assessment in order to:</w:t>
      </w:r>
    </w:p>
    <w:p w:rsidR="002C44C6" w:rsidRPr="00650CDF" w:rsidRDefault="002C44C6" w:rsidP="00650CDF">
      <w:pPr>
        <w:autoSpaceDE w:val="0"/>
        <w:autoSpaceDN w:val="0"/>
        <w:adjustRightInd w:val="0"/>
        <w:spacing w:after="0" w:line="240" w:lineRule="auto"/>
        <w:jc w:val="both"/>
        <w:rPr>
          <w:rFonts w:ascii="Arial" w:hAnsi="Arial" w:cs="Arial"/>
          <w:sz w:val="24"/>
          <w:szCs w:val="24"/>
        </w:rPr>
      </w:pP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Facilitate the identification of risk priorities.</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Capture the reasons for decisions made about what is and what is not tolerable exposure.</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Record the way in which it is decided to address risk.</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Allow all those concerned with risk management to see the overall risk profile and how their areas of particular responsibility fit into it.</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Facilitate the review and monitoring of risks.</w:t>
      </w:r>
    </w:p>
    <w:p w:rsidR="002C44C6" w:rsidRDefault="002C44C6" w:rsidP="00650CDF">
      <w:pPr>
        <w:autoSpaceDE w:val="0"/>
        <w:autoSpaceDN w:val="0"/>
        <w:adjustRightInd w:val="0"/>
        <w:spacing w:after="0" w:line="240" w:lineRule="auto"/>
        <w:jc w:val="both"/>
        <w:rPr>
          <w:rFonts w:ascii="Arial" w:hAnsi="Arial" w:cs="Arial"/>
          <w:b/>
          <w:sz w:val="24"/>
          <w:szCs w:val="24"/>
        </w:rPr>
      </w:pPr>
    </w:p>
    <w:p w:rsidR="002C44C6" w:rsidRPr="00650CDF" w:rsidRDefault="00723D4D"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4.4</w:t>
      </w:r>
      <w:r w:rsidR="002C44C6" w:rsidRPr="00650CDF">
        <w:rPr>
          <w:rFonts w:ascii="Arial" w:hAnsi="Arial" w:cs="Arial"/>
          <w:b/>
          <w:sz w:val="24"/>
          <w:szCs w:val="24"/>
        </w:rPr>
        <w:tab/>
        <w:t>Reviewing and Reporting Risks</w:t>
      </w:r>
    </w:p>
    <w:p w:rsidR="002C44C6" w:rsidRPr="00650CDF" w:rsidRDefault="002C44C6" w:rsidP="00650CDF">
      <w:pPr>
        <w:autoSpaceDE w:val="0"/>
        <w:autoSpaceDN w:val="0"/>
        <w:adjustRightInd w:val="0"/>
        <w:spacing w:after="0" w:line="240" w:lineRule="auto"/>
        <w:jc w:val="both"/>
        <w:rPr>
          <w:rFonts w:ascii="Arial" w:hAnsi="Arial" w:cs="Arial"/>
          <w:b/>
          <w:sz w:val="24"/>
          <w:szCs w:val="24"/>
        </w:rPr>
      </w:pPr>
    </w:p>
    <w:p w:rsidR="002C44C6" w:rsidRPr="00650CDF" w:rsidRDefault="002C44C6" w:rsidP="00650CDF">
      <w:pPr>
        <w:autoSpaceDE w:val="0"/>
        <w:autoSpaceDN w:val="0"/>
        <w:adjustRightInd w:val="0"/>
        <w:spacing w:after="0" w:line="240" w:lineRule="auto"/>
        <w:ind w:firstLine="720"/>
        <w:jc w:val="both"/>
        <w:rPr>
          <w:rFonts w:ascii="Arial" w:hAnsi="Arial" w:cs="Arial"/>
          <w:sz w:val="24"/>
          <w:szCs w:val="24"/>
        </w:rPr>
      </w:pPr>
      <w:r w:rsidRPr="00650CDF">
        <w:rPr>
          <w:rFonts w:ascii="Arial" w:hAnsi="Arial" w:cs="Arial"/>
          <w:sz w:val="24"/>
          <w:szCs w:val="24"/>
        </w:rPr>
        <w:t>The management of risks has to be reviewed and reported on for two reasons:</w:t>
      </w:r>
    </w:p>
    <w:p w:rsidR="002C44C6" w:rsidRPr="00650CDF" w:rsidRDefault="002C44C6" w:rsidP="00650CDF">
      <w:pPr>
        <w:autoSpaceDE w:val="0"/>
        <w:autoSpaceDN w:val="0"/>
        <w:adjustRightInd w:val="0"/>
        <w:spacing w:after="0" w:line="240" w:lineRule="auto"/>
        <w:jc w:val="both"/>
        <w:rPr>
          <w:rFonts w:ascii="Arial" w:hAnsi="Arial" w:cs="Arial"/>
          <w:sz w:val="24"/>
          <w:szCs w:val="24"/>
        </w:rPr>
      </w:pP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To monitor whether or not the risk profile is changing.</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To gain assurance that risk management is effective, and to identify when further action is necessary.</w:t>
      </w:r>
    </w:p>
    <w:p w:rsidR="002C44C6" w:rsidRPr="00650CDF" w:rsidRDefault="002C44C6" w:rsidP="00650CDF">
      <w:pPr>
        <w:autoSpaceDE w:val="0"/>
        <w:autoSpaceDN w:val="0"/>
        <w:adjustRightInd w:val="0"/>
        <w:spacing w:after="0" w:line="240" w:lineRule="auto"/>
        <w:jc w:val="both"/>
        <w:rPr>
          <w:rFonts w:ascii="Arial" w:hAnsi="Arial" w:cs="Arial"/>
          <w:b/>
          <w:sz w:val="24"/>
          <w:szCs w:val="24"/>
        </w:rPr>
      </w:pPr>
    </w:p>
    <w:p w:rsidR="002C44C6" w:rsidRPr="00650CDF" w:rsidRDefault="00723D4D"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4.5</w:t>
      </w:r>
      <w:r w:rsidRPr="00650CDF">
        <w:rPr>
          <w:rFonts w:ascii="Arial" w:hAnsi="Arial" w:cs="Arial"/>
          <w:sz w:val="24"/>
          <w:szCs w:val="24"/>
        </w:rPr>
        <w:tab/>
      </w:r>
      <w:r w:rsidR="002C44C6" w:rsidRPr="00650CDF">
        <w:rPr>
          <w:rFonts w:ascii="Arial" w:hAnsi="Arial" w:cs="Arial"/>
          <w:sz w:val="24"/>
          <w:szCs w:val="24"/>
        </w:rPr>
        <w:t>The review process will:</w:t>
      </w:r>
    </w:p>
    <w:p w:rsidR="002C44C6" w:rsidRPr="00650CDF" w:rsidRDefault="002C44C6" w:rsidP="00650CDF">
      <w:pPr>
        <w:autoSpaceDE w:val="0"/>
        <w:autoSpaceDN w:val="0"/>
        <w:adjustRightInd w:val="0"/>
        <w:spacing w:after="0" w:line="240" w:lineRule="auto"/>
        <w:jc w:val="both"/>
        <w:rPr>
          <w:rFonts w:ascii="Arial" w:hAnsi="Arial" w:cs="Arial"/>
          <w:b/>
          <w:sz w:val="24"/>
          <w:szCs w:val="24"/>
        </w:rPr>
      </w:pP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Ensure that all aspects of the risk management process are reviewed at least on</w:t>
      </w:r>
      <w:r w:rsidR="002070F2">
        <w:rPr>
          <w:rFonts w:ascii="Arial" w:hAnsi="Arial" w:cs="Arial"/>
          <w:sz w:val="24"/>
          <w:szCs w:val="24"/>
        </w:rPr>
        <w:t>ce</w:t>
      </w:r>
      <w:r w:rsidRPr="00650CDF">
        <w:rPr>
          <w:rFonts w:ascii="Arial" w:hAnsi="Arial" w:cs="Arial"/>
          <w:sz w:val="24"/>
          <w:szCs w:val="24"/>
        </w:rPr>
        <w:t xml:space="preserve"> a year.</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Ensure that risks themselves are subject to review at least quarterly.</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Identify new risks and changes in already identified risks so that the change can be appropriately addressed.</w:t>
      </w:r>
    </w:p>
    <w:p w:rsidR="002C44C6" w:rsidRPr="00650CDF" w:rsidRDefault="002C44C6" w:rsidP="00650CDF">
      <w:pPr>
        <w:autoSpaceDE w:val="0"/>
        <w:autoSpaceDN w:val="0"/>
        <w:adjustRightInd w:val="0"/>
        <w:spacing w:after="0" w:line="240" w:lineRule="auto"/>
        <w:jc w:val="both"/>
        <w:rPr>
          <w:rFonts w:ascii="Arial" w:hAnsi="Arial" w:cs="Arial"/>
          <w:b/>
          <w:sz w:val="24"/>
          <w:szCs w:val="24"/>
        </w:rPr>
      </w:pPr>
    </w:p>
    <w:p w:rsidR="002C44C6"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4.6</w:t>
      </w:r>
      <w:r w:rsidRPr="00650CDF">
        <w:rPr>
          <w:rFonts w:ascii="Arial" w:hAnsi="Arial" w:cs="Arial"/>
          <w:sz w:val="24"/>
          <w:szCs w:val="24"/>
        </w:rPr>
        <w:tab/>
      </w:r>
      <w:r w:rsidR="002C44C6" w:rsidRPr="00650CDF">
        <w:rPr>
          <w:rFonts w:ascii="Arial" w:hAnsi="Arial" w:cs="Arial"/>
          <w:sz w:val="24"/>
          <w:szCs w:val="24"/>
        </w:rPr>
        <w:t xml:space="preserve">The Risk Management </w:t>
      </w:r>
      <w:r w:rsidRPr="00650CDF">
        <w:rPr>
          <w:rFonts w:ascii="Arial" w:hAnsi="Arial" w:cs="Arial"/>
          <w:sz w:val="24"/>
          <w:szCs w:val="24"/>
        </w:rPr>
        <w:t>Policy</w:t>
      </w:r>
      <w:r w:rsidR="002C44C6" w:rsidRPr="00650CDF">
        <w:rPr>
          <w:rFonts w:ascii="Arial" w:hAnsi="Arial" w:cs="Arial"/>
          <w:sz w:val="24"/>
          <w:szCs w:val="24"/>
        </w:rPr>
        <w:t xml:space="preserve"> will be reviewed once every 3 years, initially by the Executive Management Team, followed by the Audit Sub-Committee and finally approved by the Management Committee</w:t>
      </w:r>
      <w:r w:rsidRPr="00650CDF">
        <w:rPr>
          <w:rFonts w:ascii="Arial" w:hAnsi="Arial" w:cs="Arial"/>
          <w:sz w:val="24"/>
          <w:szCs w:val="24"/>
        </w:rPr>
        <w:t xml:space="preserve"> and Subsidiary Boards</w:t>
      </w:r>
      <w:r w:rsidR="002C44C6" w:rsidRPr="00650CDF">
        <w:rPr>
          <w:rFonts w:ascii="Arial" w:hAnsi="Arial" w:cs="Arial"/>
          <w:sz w:val="24"/>
          <w:szCs w:val="24"/>
        </w:rPr>
        <w:t xml:space="preserve">. The Risk Register however will be a live document. The register will be formally reviewed and updated </w:t>
      </w:r>
      <w:r w:rsidR="00D60F73" w:rsidRPr="00650CDF">
        <w:rPr>
          <w:rFonts w:ascii="Arial" w:hAnsi="Arial" w:cs="Arial"/>
          <w:sz w:val="24"/>
          <w:szCs w:val="24"/>
        </w:rPr>
        <w:t>bi-annually</w:t>
      </w:r>
      <w:r w:rsidR="002C44C6" w:rsidRPr="00650CDF">
        <w:rPr>
          <w:rFonts w:ascii="Arial" w:hAnsi="Arial" w:cs="Arial"/>
          <w:sz w:val="24"/>
          <w:szCs w:val="24"/>
        </w:rPr>
        <w:t xml:space="preserve"> by the Executive Management Team. The updated </w:t>
      </w:r>
      <w:r w:rsidR="002C44C6" w:rsidRPr="00650CDF">
        <w:rPr>
          <w:rFonts w:ascii="Arial" w:hAnsi="Arial" w:cs="Arial"/>
          <w:sz w:val="24"/>
          <w:szCs w:val="24"/>
        </w:rPr>
        <w:lastRenderedPageBreak/>
        <w:t>register will then be reviewed by the Audit Sub-Committee prior to submission to Management Committee</w:t>
      </w:r>
      <w:r w:rsidRPr="00650CDF">
        <w:rPr>
          <w:rFonts w:ascii="Arial" w:hAnsi="Arial" w:cs="Arial"/>
          <w:sz w:val="24"/>
          <w:szCs w:val="24"/>
        </w:rPr>
        <w:t xml:space="preserve"> and the relevant subsidiary Boards</w:t>
      </w:r>
      <w:r w:rsidR="002070F2">
        <w:rPr>
          <w:rFonts w:ascii="Arial" w:hAnsi="Arial" w:cs="Arial"/>
          <w:sz w:val="24"/>
          <w:szCs w:val="24"/>
        </w:rPr>
        <w:t xml:space="preserve"> as required</w:t>
      </w:r>
      <w:r w:rsidR="002C44C6" w:rsidRPr="00650CDF">
        <w:rPr>
          <w:rFonts w:ascii="Arial" w:hAnsi="Arial" w:cs="Arial"/>
          <w:sz w:val="24"/>
          <w:szCs w:val="24"/>
        </w:rPr>
        <w:t xml:space="preserve">. </w:t>
      </w:r>
    </w:p>
    <w:p w:rsidR="002C44C6" w:rsidRPr="00650CDF" w:rsidRDefault="002C44C6" w:rsidP="00650CDF">
      <w:pPr>
        <w:autoSpaceDE w:val="0"/>
        <w:autoSpaceDN w:val="0"/>
        <w:adjustRightInd w:val="0"/>
        <w:spacing w:after="0" w:line="240" w:lineRule="auto"/>
        <w:jc w:val="both"/>
        <w:rPr>
          <w:rFonts w:ascii="Arial" w:hAnsi="Arial" w:cs="Arial"/>
          <w:sz w:val="24"/>
          <w:szCs w:val="24"/>
        </w:rPr>
      </w:pPr>
    </w:p>
    <w:p w:rsidR="002C44C6"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4.7</w:t>
      </w:r>
      <w:r w:rsidR="00D60F73" w:rsidRPr="00650CDF">
        <w:rPr>
          <w:rFonts w:ascii="Arial" w:hAnsi="Arial" w:cs="Arial"/>
          <w:sz w:val="24"/>
          <w:szCs w:val="24"/>
        </w:rPr>
        <w:tab/>
      </w:r>
      <w:r w:rsidR="002C44C6" w:rsidRPr="00650CDF">
        <w:rPr>
          <w:rFonts w:ascii="Arial" w:hAnsi="Arial" w:cs="Arial"/>
          <w:sz w:val="24"/>
          <w:szCs w:val="24"/>
        </w:rPr>
        <w:t xml:space="preserve">Each risk is assessed twice. Firstly the “Inherent” risk which is the exposure arising from a specific risk therefore mitigating action has been taken to manage it. Secondly the “Residual” risk which is the exposure arising from a specific risk after action has been taken to manage it and making the assumption that the action is effective. </w:t>
      </w:r>
    </w:p>
    <w:p w:rsidR="00650CDF" w:rsidRPr="00650CDF" w:rsidRDefault="00650CDF" w:rsidP="00650CDF">
      <w:pPr>
        <w:autoSpaceDE w:val="0"/>
        <w:autoSpaceDN w:val="0"/>
        <w:adjustRightInd w:val="0"/>
        <w:spacing w:after="0" w:line="240" w:lineRule="auto"/>
        <w:jc w:val="both"/>
        <w:rPr>
          <w:rFonts w:ascii="Arial" w:hAnsi="Arial" w:cs="Arial"/>
          <w:sz w:val="24"/>
          <w:szCs w:val="24"/>
        </w:rPr>
      </w:pPr>
    </w:p>
    <w:p w:rsidR="002C44C6" w:rsidRDefault="00723D4D"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4.8</w:t>
      </w:r>
      <w:r w:rsidR="00D60F73" w:rsidRPr="00650CDF">
        <w:rPr>
          <w:rFonts w:ascii="Arial" w:hAnsi="Arial" w:cs="Arial"/>
          <w:b/>
          <w:sz w:val="24"/>
          <w:szCs w:val="24"/>
        </w:rPr>
        <w:tab/>
      </w:r>
      <w:r w:rsidR="002C44C6" w:rsidRPr="00650CDF">
        <w:rPr>
          <w:rFonts w:ascii="Arial" w:hAnsi="Arial" w:cs="Arial"/>
          <w:b/>
          <w:sz w:val="24"/>
          <w:szCs w:val="24"/>
        </w:rPr>
        <w:t>Evaluation of Risk</w:t>
      </w:r>
    </w:p>
    <w:p w:rsidR="00650CDF" w:rsidRPr="00650CDF" w:rsidRDefault="00650CDF" w:rsidP="00650CDF">
      <w:pPr>
        <w:autoSpaceDE w:val="0"/>
        <w:autoSpaceDN w:val="0"/>
        <w:adjustRightInd w:val="0"/>
        <w:spacing w:after="0" w:line="240" w:lineRule="auto"/>
        <w:jc w:val="both"/>
        <w:rPr>
          <w:rFonts w:ascii="Arial" w:hAnsi="Arial" w:cs="Arial"/>
          <w:b/>
          <w:sz w:val="24"/>
          <w:szCs w:val="24"/>
        </w:rPr>
      </w:pPr>
    </w:p>
    <w:p w:rsidR="00650CDF" w:rsidRDefault="00D60F73" w:rsidP="00650CDF">
      <w:pPr>
        <w:autoSpaceDE w:val="0"/>
        <w:autoSpaceDN w:val="0"/>
        <w:adjustRightInd w:val="0"/>
        <w:spacing w:after="0" w:line="240" w:lineRule="auto"/>
        <w:ind w:left="720"/>
        <w:jc w:val="both"/>
        <w:rPr>
          <w:rFonts w:ascii="Arial" w:hAnsi="Arial" w:cs="Arial"/>
          <w:sz w:val="24"/>
          <w:szCs w:val="24"/>
        </w:rPr>
      </w:pPr>
      <w:r w:rsidRPr="00650CDF">
        <w:rPr>
          <w:rFonts w:ascii="Arial" w:hAnsi="Arial" w:cs="Arial"/>
          <w:b/>
          <w:noProof/>
          <w:sz w:val="24"/>
          <w:szCs w:val="24"/>
          <w:lang w:eastAsia="en-GB"/>
        </w:rPr>
        <w:drawing>
          <wp:anchor distT="0" distB="0" distL="114300" distR="114300" simplePos="0" relativeHeight="251662336" behindDoc="1" locked="0" layoutInCell="1" allowOverlap="1" wp14:anchorId="2EDB0A51" wp14:editId="24277ED3">
            <wp:simplePos x="0" y="0"/>
            <wp:positionH relativeFrom="column">
              <wp:posOffset>1066800</wp:posOffset>
            </wp:positionH>
            <wp:positionV relativeFrom="paragraph">
              <wp:posOffset>259715</wp:posOffset>
            </wp:positionV>
            <wp:extent cx="3990975" cy="2314575"/>
            <wp:effectExtent l="0" t="0" r="0" b="952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2C44C6" w:rsidRPr="00650CDF">
        <w:rPr>
          <w:rFonts w:ascii="Arial" w:hAnsi="Arial" w:cs="Arial"/>
          <w:sz w:val="24"/>
          <w:szCs w:val="24"/>
        </w:rPr>
        <w:t xml:space="preserve">The following diagram sets out typical </w:t>
      </w:r>
      <w:r w:rsidR="00650CDF">
        <w:rPr>
          <w:rFonts w:ascii="Arial" w:hAnsi="Arial" w:cs="Arial"/>
          <w:sz w:val="24"/>
          <w:szCs w:val="24"/>
        </w:rPr>
        <w:t xml:space="preserve">elements of </w:t>
      </w:r>
      <w:r w:rsidR="0052788A">
        <w:rPr>
          <w:rFonts w:ascii="Arial" w:hAnsi="Arial" w:cs="Arial"/>
          <w:sz w:val="24"/>
          <w:szCs w:val="24"/>
        </w:rPr>
        <w:t xml:space="preserve">the </w:t>
      </w:r>
      <w:r w:rsidR="00650CDF">
        <w:rPr>
          <w:rFonts w:ascii="Arial" w:hAnsi="Arial" w:cs="Arial"/>
          <w:sz w:val="24"/>
          <w:szCs w:val="24"/>
        </w:rPr>
        <w:t>risk management</w:t>
      </w:r>
      <w:r w:rsidR="0052788A">
        <w:rPr>
          <w:rFonts w:ascii="Arial" w:hAnsi="Arial" w:cs="Arial"/>
          <w:sz w:val="24"/>
          <w:szCs w:val="24"/>
        </w:rPr>
        <w:t xml:space="preserve"> </w:t>
      </w:r>
      <w:r w:rsidR="00650CDF">
        <w:rPr>
          <w:rFonts w:ascii="Arial" w:hAnsi="Arial" w:cs="Arial"/>
          <w:sz w:val="24"/>
          <w:szCs w:val="24"/>
        </w:rPr>
        <w:t>process:</w:t>
      </w:r>
    </w:p>
    <w:p w:rsidR="002C44C6" w:rsidRPr="00650CDF" w:rsidRDefault="002C44C6" w:rsidP="00650CDF">
      <w:pPr>
        <w:autoSpaceDE w:val="0"/>
        <w:autoSpaceDN w:val="0"/>
        <w:adjustRightInd w:val="0"/>
        <w:spacing w:after="0" w:line="240" w:lineRule="auto"/>
        <w:jc w:val="both"/>
        <w:rPr>
          <w:rFonts w:ascii="Arial" w:hAnsi="Arial" w:cs="Arial"/>
          <w:sz w:val="24"/>
          <w:szCs w:val="24"/>
        </w:rPr>
      </w:pPr>
    </w:p>
    <w:p w:rsidR="002C44C6"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4.9</w:t>
      </w:r>
      <w:r w:rsidR="00D60F73" w:rsidRPr="00650CDF">
        <w:rPr>
          <w:rFonts w:ascii="Arial" w:hAnsi="Arial" w:cs="Arial"/>
          <w:sz w:val="24"/>
          <w:szCs w:val="24"/>
        </w:rPr>
        <w:tab/>
        <w:t>The</w:t>
      </w:r>
      <w:r w:rsidR="002C44C6" w:rsidRPr="00650CDF">
        <w:rPr>
          <w:rFonts w:ascii="Arial" w:hAnsi="Arial" w:cs="Arial"/>
          <w:sz w:val="24"/>
          <w:szCs w:val="24"/>
        </w:rPr>
        <w:t xml:space="preserve"> Management Committee is responsible for reviewing the effectiveness of internal control of the Association</w:t>
      </w:r>
      <w:r w:rsidR="002070F2">
        <w:rPr>
          <w:rFonts w:ascii="Arial" w:hAnsi="Arial" w:cs="Arial"/>
          <w:sz w:val="24"/>
          <w:szCs w:val="24"/>
        </w:rPr>
        <w:t xml:space="preserve"> and the Board is risible for reviewing the effectiveness of internal control at the HOME Team - </w:t>
      </w:r>
      <w:r w:rsidR="002C44C6" w:rsidRPr="00650CDF">
        <w:rPr>
          <w:rFonts w:ascii="Arial" w:hAnsi="Arial" w:cs="Arial"/>
          <w:sz w:val="24"/>
          <w:szCs w:val="24"/>
        </w:rPr>
        <w:t xml:space="preserve">based on information provided by the Executive Management Team. </w:t>
      </w:r>
    </w:p>
    <w:p w:rsidR="002C44C6" w:rsidRDefault="002C44C6" w:rsidP="00650CDF">
      <w:pPr>
        <w:autoSpaceDE w:val="0"/>
        <w:autoSpaceDN w:val="0"/>
        <w:adjustRightInd w:val="0"/>
        <w:spacing w:after="0" w:line="240" w:lineRule="auto"/>
        <w:jc w:val="both"/>
        <w:rPr>
          <w:rFonts w:ascii="Arial" w:hAnsi="Arial" w:cs="Arial"/>
          <w:sz w:val="24"/>
          <w:szCs w:val="24"/>
        </w:rPr>
      </w:pPr>
    </w:p>
    <w:p w:rsidR="002C44C6" w:rsidRPr="00650CDF" w:rsidRDefault="00723D4D"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4.10</w:t>
      </w:r>
      <w:r w:rsidR="00D60F73" w:rsidRPr="00650CDF">
        <w:rPr>
          <w:rFonts w:ascii="Arial" w:hAnsi="Arial" w:cs="Arial"/>
          <w:sz w:val="24"/>
          <w:szCs w:val="24"/>
        </w:rPr>
        <w:tab/>
      </w:r>
      <w:r w:rsidR="002C44C6" w:rsidRPr="00650CDF">
        <w:rPr>
          <w:rFonts w:ascii="Arial" w:hAnsi="Arial" w:cs="Arial"/>
          <w:sz w:val="24"/>
          <w:szCs w:val="24"/>
        </w:rPr>
        <w:t>When evaluating risk, the following criteria needs to be considered:</w:t>
      </w:r>
    </w:p>
    <w:p w:rsidR="002C44C6" w:rsidRDefault="002C44C6" w:rsidP="00650CDF">
      <w:pPr>
        <w:autoSpaceDE w:val="0"/>
        <w:autoSpaceDN w:val="0"/>
        <w:adjustRightInd w:val="0"/>
        <w:spacing w:after="0" w:line="240" w:lineRule="auto"/>
        <w:jc w:val="both"/>
        <w:rPr>
          <w:rFonts w:ascii="Arial" w:hAnsi="Arial" w:cs="Arial"/>
          <w:sz w:val="24"/>
          <w:szCs w:val="24"/>
        </w:rPr>
      </w:pPr>
    </w:p>
    <w:p w:rsidR="0052788A" w:rsidRDefault="0052788A" w:rsidP="00650CDF">
      <w:pPr>
        <w:autoSpaceDE w:val="0"/>
        <w:autoSpaceDN w:val="0"/>
        <w:adjustRightInd w:val="0"/>
        <w:spacing w:after="0" w:line="240" w:lineRule="auto"/>
        <w:jc w:val="both"/>
        <w:rPr>
          <w:rFonts w:ascii="Arial" w:hAnsi="Arial" w:cs="Arial"/>
          <w:sz w:val="24"/>
          <w:szCs w:val="24"/>
        </w:rPr>
      </w:pPr>
    </w:p>
    <w:p w:rsidR="0052788A" w:rsidRPr="00650CDF" w:rsidRDefault="0052788A" w:rsidP="00650CDF">
      <w:pPr>
        <w:autoSpaceDE w:val="0"/>
        <w:autoSpaceDN w:val="0"/>
        <w:adjustRightInd w:val="0"/>
        <w:spacing w:after="0" w:line="240" w:lineRule="auto"/>
        <w:jc w:val="both"/>
        <w:rPr>
          <w:rFonts w:ascii="Arial" w:hAnsi="Arial" w:cs="Arial"/>
          <w:sz w:val="24"/>
          <w:szCs w:val="24"/>
        </w:rPr>
      </w:pP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Financial and value for money issues.</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Human resource issues – capacity, relations and others.</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Service delivery and quality of service issues.</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Public concern, trust or confidence issues.</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Degree and nature of risks to the public.</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Reversibility or otherwise of realisation of risks.</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The impact of the risk on the </w:t>
      </w:r>
      <w:r w:rsidR="002070F2">
        <w:rPr>
          <w:rFonts w:ascii="Arial" w:hAnsi="Arial" w:cs="Arial"/>
          <w:sz w:val="24"/>
          <w:szCs w:val="24"/>
        </w:rPr>
        <w:t>Group</w:t>
      </w:r>
      <w:r w:rsidRPr="00650CDF">
        <w:rPr>
          <w:rFonts w:ascii="Arial" w:hAnsi="Arial" w:cs="Arial"/>
          <w:sz w:val="24"/>
          <w:szCs w:val="24"/>
        </w:rPr>
        <w:t xml:space="preserve"> (including its reputation), stakeholders, etc.</w:t>
      </w:r>
    </w:p>
    <w:p w:rsidR="002C44C6" w:rsidRPr="00650CDF" w:rsidRDefault="002C44C6"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Defensibility of realisation of the risk.</w:t>
      </w:r>
    </w:p>
    <w:p w:rsidR="002C44C6" w:rsidRPr="00650CDF" w:rsidRDefault="002C44C6" w:rsidP="00650CDF">
      <w:pPr>
        <w:autoSpaceDE w:val="0"/>
        <w:autoSpaceDN w:val="0"/>
        <w:adjustRightInd w:val="0"/>
        <w:spacing w:after="0" w:line="240" w:lineRule="auto"/>
        <w:jc w:val="both"/>
        <w:rPr>
          <w:rFonts w:ascii="Arial" w:hAnsi="Arial" w:cs="Arial"/>
          <w:b/>
          <w:sz w:val="24"/>
          <w:szCs w:val="24"/>
        </w:rPr>
      </w:pPr>
    </w:p>
    <w:p w:rsidR="00650CDF" w:rsidRDefault="00723D4D"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4.11</w:t>
      </w:r>
      <w:r w:rsidR="00D60F73" w:rsidRPr="00650CDF">
        <w:rPr>
          <w:rFonts w:ascii="Arial" w:hAnsi="Arial" w:cs="Arial"/>
          <w:sz w:val="24"/>
          <w:szCs w:val="24"/>
        </w:rPr>
        <w:tab/>
        <w:t>The</w:t>
      </w:r>
      <w:r w:rsidR="002C44C6" w:rsidRPr="00650CDF">
        <w:rPr>
          <w:rFonts w:ascii="Arial" w:hAnsi="Arial" w:cs="Arial"/>
          <w:sz w:val="24"/>
          <w:szCs w:val="24"/>
        </w:rPr>
        <w:t xml:space="preserve"> impact descriptors, outlined above are however only an indication of the probable effect on the </w:t>
      </w:r>
      <w:r w:rsidR="002070F2">
        <w:rPr>
          <w:rFonts w:ascii="Arial" w:hAnsi="Arial" w:cs="Arial"/>
          <w:sz w:val="24"/>
          <w:szCs w:val="24"/>
        </w:rPr>
        <w:t>Group</w:t>
      </w:r>
      <w:r w:rsidR="002C44C6" w:rsidRPr="00650CDF">
        <w:rPr>
          <w:rFonts w:ascii="Arial" w:hAnsi="Arial" w:cs="Arial"/>
          <w:sz w:val="24"/>
          <w:szCs w:val="24"/>
        </w:rPr>
        <w:t xml:space="preserve"> if the risk occurs; they are not hard and fast rules. </w:t>
      </w:r>
    </w:p>
    <w:p w:rsidR="00650CDF" w:rsidRDefault="00650CDF" w:rsidP="00650CDF">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lastRenderedPageBreak/>
        <w:tab/>
      </w:r>
    </w:p>
    <w:p w:rsidR="002C44C6" w:rsidRPr="00650CDF" w:rsidRDefault="00650CDF" w:rsidP="00650CDF">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ab/>
      </w:r>
      <w:r w:rsidR="002C44C6" w:rsidRPr="00650CDF">
        <w:rPr>
          <w:rFonts w:ascii="Arial" w:hAnsi="Arial" w:cs="Arial"/>
          <w:sz w:val="24"/>
          <w:szCs w:val="24"/>
        </w:rPr>
        <w:t>It is essential that staff use their knowledge and judgement when deciding on the score for impact. In particular, when assessing the financial impact staff and Management Committee</w:t>
      </w:r>
      <w:r w:rsidR="002070F2">
        <w:rPr>
          <w:rFonts w:ascii="Arial" w:hAnsi="Arial" w:cs="Arial"/>
          <w:sz w:val="24"/>
          <w:szCs w:val="24"/>
        </w:rPr>
        <w:t xml:space="preserve">/Board </w:t>
      </w:r>
      <w:r w:rsidR="002C44C6" w:rsidRPr="00650CDF">
        <w:rPr>
          <w:rFonts w:ascii="Arial" w:hAnsi="Arial" w:cs="Arial"/>
          <w:sz w:val="24"/>
          <w:szCs w:val="24"/>
        </w:rPr>
        <w:t xml:space="preserve">members should take account of the potential cumulative effect of what might be considered smaller sums on the overall resource constraints of the organisation. </w:t>
      </w:r>
    </w:p>
    <w:p w:rsidR="00723D4D" w:rsidRPr="00650CDF" w:rsidRDefault="00723D4D" w:rsidP="00650CDF">
      <w:pPr>
        <w:autoSpaceDE w:val="0"/>
        <w:autoSpaceDN w:val="0"/>
        <w:adjustRightInd w:val="0"/>
        <w:spacing w:after="0" w:line="240" w:lineRule="auto"/>
        <w:jc w:val="both"/>
        <w:rPr>
          <w:rFonts w:ascii="Arial" w:hAnsi="Arial" w:cs="Arial"/>
          <w:sz w:val="24"/>
          <w:szCs w:val="24"/>
        </w:rPr>
      </w:pPr>
    </w:p>
    <w:p w:rsidR="002C44C6" w:rsidRDefault="00723D4D"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4.12</w:t>
      </w:r>
      <w:r w:rsidR="00D60F73" w:rsidRPr="00650CDF">
        <w:rPr>
          <w:rFonts w:ascii="Arial" w:hAnsi="Arial" w:cs="Arial"/>
          <w:sz w:val="24"/>
          <w:szCs w:val="24"/>
        </w:rPr>
        <w:tab/>
      </w:r>
      <w:r w:rsidR="002C44C6" w:rsidRPr="00650CDF">
        <w:rPr>
          <w:rFonts w:ascii="Arial" w:hAnsi="Arial" w:cs="Arial"/>
          <w:sz w:val="24"/>
          <w:szCs w:val="24"/>
        </w:rPr>
        <w:t>A summary of the likelihood descriptors is as follows:</w:t>
      </w:r>
    </w:p>
    <w:p w:rsidR="0052788A" w:rsidRDefault="0052788A" w:rsidP="00650CDF">
      <w:pPr>
        <w:autoSpaceDE w:val="0"/>
        <w:autoSpaceDN w:val="0"/>
        <w:adjustRightInd w:val="0"/>
        <w:spacing w:after="0" w:line="240" w:lineRule="auto"/>
        <w:jc w:val="both"/>
        <w:rPr>
          <w:rFonts w:ascii="Arial" w:hAnsi="Arial" w:cs="Arial"/>
          <w:sz w:val="24"/>
          <w:szCs w:val="24"/>
        </w:rPr>
      </w:pPr>
    </w:p>
    <w:p w:rsidR="0052788A" w:rsidRPr="00650CDF" w:rsidRDefault="0052788A" w:rsidP="00650CDF">
      <w:pPr>
        <w:autoSpaceDE w:val="0"/>
        <w:autoSpaceDN w:val="0"/>
        <w:adjustRightInd w:val="0"/>
        <w:spacing w:after="0" w:line="240" w:lineRule="auto"/>
        <w:jc w:val="both"/>
        <w:rPr>
          <w:rFonts w:ascii="Arial" w:hAnsi="Arial" w:cs="Arial"/>
          <w:sz w:val="24"/>
          <w:szCs w:val="24"/>
        </w:rPr>
      </w:pPr>
    </w:p>
    <w:p w:rsidR="002C44C6" w:rsidRPr="00650CDF" w:rsidRDefault="002C44C6" w:rsidP="00650CDF">
      <w:pPr>
        <w:autoSpaceDE w:val="0"/>
        <w:autoSpaceDN w:val="0"/>
        <w:adjustRightInd w:val="0"/>
        <w:spacing w:after="0" w:line="240" w:lineRule="auto"/>
        <w:jc w:val="both"/>
        <w:rPr>
          <w:rFonts w:ascii="Arial" w:hAnsi="Arial" w:cs="Arial"/>
          <w:sz w:val="24"/>
          <w:szCs w:val="24"/>
        </w:rPr>
      </w:pPr>
    </w:p>
    <w:tbl>
      <w:tblPr>
        <w:tblStyle w:val="LightGrid-Accent1"/>
        <w:tblW w:w="0" w:type="auto"/>
        <w:tblInd w:w="899" w:type="dxa"/>
        <w:tblLook w:val="04A0" w:firstRow="1" w:lastRow="0" w:firstColumn="1" w:lastColumn="0" w:noHBand="0" w:noVBand="1"/>
      </w:tblPr>
      <w:tblGrid>
        <w:gridCol w:w="1951"/>
        <w:gridCol w:w="6521"/>
      </w:tblGrid>
      <w:tr w:rsidR="002C44C6" w:rsidRPr="00650CDF" w:rsidTr="0052788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Pr>
          <w:p w:rsidR="002C44C6" w:rsidRPr="00650CDF" w:rsidRDefault="002C44C6" w:rsidP="00650CDF">
            <w:pPr>
              <w:autoSpaceDE w:val="0"/>
              <w:autoSpaceDN w:val="0"/>
              <w:adjustRightInd w:val="0"/>
              <w:jc w:val="both"/>
              <w:rPr>
                <w:rFonts w:ascii="Arial" w:hAnsi="Arial" w:cs="Arial"/>
                <w:sz w:val="24"/>
                <w:szCs w:val="24"/>
              </w:rPr>
            </w:pPr>
            <w:r w:rsidRPr="00650CDF">
              <w:rPr>
                <w:rFonts w:ascii="Arial" w:hAnsi="Arial" w:cs="Arial"/>
                <w:sz w:val="24"/>
                <w:szCs w:val="24"/>
              </w:rPr>
              <w:t>Almost Certain:</w:t>
            </w:r>
          </w:p>
        </w:tc>
        <w:tc>
          <w:tcPr>
            <w:tcW w:w="6521" w:type="dxa"/>
          </w:tcPr>
          <w:p w:rsidR="002C44C6" w:rsidRPr="00650CDF" w:rsidRDefault="002C44C6" w:rsidP="00650CD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50CDF">
              <w:rPr>
                <w:rFonts w:ascii="Arial" w:hAnsi="Arial" w:cs="Arial"/>
                <w:sz w:val="24"/>
                <w:szCs w:val="24"/>
              </w:rPr>
              <w:t>Likelihood greater than 75%</w:t>
            </w:r>
          </w:p>
        </w:tc>
      </w:tr>
      <w:tr w:rsidR="002C44C6" w:rsidRPr="00650CDF" w:rsidTr="00527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2" w:type="dxa"/>
            <w:gridSpan w:val="2"/>
          </w:tcPr>
          <w:p w:rsidR="002C44C6" w:rsidRPr="00650CDF" w:rsidRDefault="002C44C6" w:rsidP="00650CDF">
            <w:pPr>
              <w:autoSpaceDE w:val="0"/>
              <w:autoSpaceDN w:val="0"/>
              <w:adjustRightInd w:val="0"/>
              <w:jc w:val="both"/>
              <w:rPr>
                <w:rFonts w:ascii="Arial" w:hAnsi="Arial" w:cs="Arial"/>
                <w:b w:val="0"/>
                <w:sz w:val="24"/>
                <w:szCs w:val="24"/>
              </w:rPr>
            </w:pPr>
            <w:r w:rsidRPr="00650CDF">
              <w:rPr>
                <w:rFonts w:ascii="Arial" w:hAnsi="Arial" w:cs="Arial"/>
                <w:b w:val="0"/>
                <w:sz w:val="24"/>
                <w:szCs w:val="24"/>
              </w:rPr>
              <w:t>Very Likely. The event is expected to occur in most circumstances. There could be a history of regular occurrences, i.e. on an annual basis; and if new event, likelihood of occurrence regarded as almost inevitable.</w:t>
            </w:r>
          </w:p>
          <w:p w:rsidR="002C44C6" w:rsidRPr="00650CDF" w:rsidRDefault="002C44C6" w:rsidP="00650CDF">
            <w:pPr>
              <w:autoSpaceDE w:val="0"/>
              <w:autoSpaceDN w:val="0"/>
              <w:adjustRightInd w:val="0"/>
              <w:jc w:val="both"/>
              <w:rPr>
                <w:rFonts w:ascii="Arial" w:hAnsi="Arial" w:cs="Arial"/>
                <w:sz w:val="24"/>
                <w:szCs w:val="24"/>
              </w:rPr>
            </w:pPr>
          </w:p>
        </w:tc>
      </w:tr>
      <w:tr w:rsidR="002C44C6" w:rsidRPr="00650CDF" w:rsidTr="0052788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Pr>
          <w:p w:rsidR="002C44C6" w:rsidRPr="00650CDF" w:rsidRDefault="002C44C6" w:rsidP="00650CDF">
            <w:pPr>
              <w:autoSpaceDE w:val="0"/>
              <w:autoSpaceDN w:val="0"/>
              <w:adjustRightInd w:val="0"/>
              <w:jc w:val="both"/>
              <w:rPr>
                <w:rFonts w:ascii="Arial" w:hAnsi="Arial" w:cs="Arial"/>
                <w:sz w:val="24"/>
                <w:szCs w:val="24"/>
              </w:rPr>
            </w:pPr>
            <w:r w:rsidRPr="00650CDF">
              <w:rPr>
                <w:rFonts w:ascii="Arial" w:hAnsi="Arial" w:cs="Arial"/>
                <w:sz w:val="24"/>
                <w:szCs w:val="24"/>
              </w:rPr>
              <w:t>Likely:</w:t>
            </w:r>
          </w:p>
        </w:tc>
        <w:tc>
          <w:tcPr>
            <w:tcW w:w="6521" w:type="dxa"/>
          </w:tcPr>
          <w:p w:rsidR="002C44C6" w:rsidRPr="00650CDF" w:rsidRDefault="002C44C6"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650CDF">
              <w:rPr>
                <w:rFonts w:ascii="Arial" w:hAnsi="Arial" w:cs="Arial"/>
                <w:b/>
                <w:sz w:val="24"/>
                <w:szCs w:val="24"/>
              </w:rPr>
              <w:t>Likelihood greater than 50%</w:t>
            </w:r>
          </w:p>
        </w:tc>
      </w:tr>
      <w:tr w:rsidR="002C44C6" w:rsidRPr="00650CDF" w:rsidTr="00527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2" w:type="dxa"/>
            <w:gridSpan w:val="2"/>
          </w:tcPr>
          <w:p w:rsidR="002C44C6" w:rsidRPr="00650CDF" w:rsidRDefault="002C44C6" w:rsidP="00650CDF">
            <w:pPr>
              <w:autoSpaceDE w:val="0"/>
              <w:autoSpaceDN w:val="0"/>
              <w:adjustRightInd w:val="0"/>
              <w:jc w:val="both"/>
              <w:rPr>
                <w:rFonts w:ascii="Arial" w:hAnsi="Arial" w:cs="Arial"/>
                <w:b w:val="0"/>
                <w:sz w:val="24"/>
                <w:szCs w:val="24"/>
              </w:rPr>
            </w:pPr>
            <w:r w:rsidRPr="00650CDF">
              <w:rPr>
                <w:rFonts w:ascii="Arial" w:hAnsi="Arial" w:cs="Arial"/>
                <w:b w:val="0"/>
                <w:sz w:val="24"/>
                <w:szCs w:val="24"/>
              </w:rPr>
              <w:t xml:space="preserve">There is a strong possibility the event or risk will occur. There may be a history of frequent occurrences. Everyone with knowledge of issues in this area knows this could happen. No or little effective measures to reduce likelihood can be and/or have been taken; and will probably occur in most circumstances. </w:t>
            </w:r>
          </w:p>
          <w:p w:rsidR="002C44C6" w:rsidRPr="00650CDF" w:rsidRDefault="002C44C6" w:rsidP="00650CDF">
            <w:pPr>
              <w:autoSpaceDE w:val="0"/>
              <w:autoSpaceDN w:val="0"/>
              <w:adjustRightInd w:val="0"/>
              <w:jc w:val="both"/>
              <w:rPr>
                <w:rFonts w:ascii="Arial" w:hAnsi="Arial" w:cs="Arial"/>
                <w:sz w:val="24"/>
                <w:szCs w:val="24"/>
              </w:rPr>
            </w:pPr>
          </w:p>
        </w:tc>
      </w:tr>
      <w:tr w:rsidR="002C44C6" w:rsidRPr="00650CDF" w:rsidTr="0052788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Pr>
          <w:p w:rsidR="002C44C6" w:rsidRPr="00650CDF" w:rsidRDefault="002C44C6" w:rsidP="00650CDF">
            <w:pPr>
              <w:autoSpaceDE w:val="0"/>
              <w:autoSpaceDN w:val="0"/>
              <w:adjustRightInd w:val="0"/>
              <w:jc w:val="both"/>
              <w:rPr>
                <w:rFonts w:ascii="Arial" w:hAnsi="Arial" w:cs="Arial"/>
                <w:sz w:val="24"/>
                <w:szCs w:val="24"/>
              </w:rPr>
            </w:pPr>
            <w:r w:rsidRPr="00650CDF">
              <w:rPr>
                <w:rFonts w:ascii="Arial" w:hAnsi="Arial" w:cs="Arial"/>
                <w:sz w:val="24"/>
                <w:szCs w:val="24"/>
              </w:rPr>
              <w:t>Possible:</w:t>
            </w:r>
          </w:p>
        </w:tc>
        <w:tc>
          <w:tcPr>
            <w:tcW w:w="6521" w:type="dxa"/>
          </w:tcPr>
          <w:p w:rsidR="002C44C6" w:rsidRPr="00650CDF" w:rsidRDefault="002C44C6"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650CDF">
              <w:rPr>
                <w:rFonts w:ascii="Arial" w:hAnsi="Arial" w:cs="Arial"/>
                <w:b/>
                <w:sz w:val="24"/>
                <w:szCs w:val="24"/>
              </w:rPr>
              <w:t>Likelihood between 10% and 50%</w:t>
            </w:r>
          </w:p>
        </w:tc>
      </w:tr>
      <w:tr w:rsidR="002C44C6" w:rsidRPr="00650CDF" w:rsidTr="00527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2" w:type="dxa"/>
            <w:gridSpan w:val="2"/>
          </w:tcPr>
          <w:p w:rsidR="002C44C6" w:rsidRPr="00650CDF" w:rsidRDefault="002C44C6" w:rsidP="00650CDF">
            <w:pPr>
              <w:autoSpaceDE w:val="0"/>
              <w:autoSpaceDN w:val="0"/>
              <w:adjustRightInd w:val="0"/>
              <w:jc w:val="both"/>
              <w:rPr>
                <w:rFonts w:ascii="Arial" w:hAnsi="Arial" w:cs="Arial"/>
                <w:b w:val="0"/>
                <w:sz w:val="24"/>
                <w:szCs w:val="24"/>
              </w:rPr>
            </w:pPr>
            <w:r w:rsidRPr="00650CDF">
              <w:rPr>
                <w:rFonts w:ascii="Arial" w:hAnsi="Arial" w:cs="Arial"/>
                <w:b w:val="0"/>
                <w:sz w:val="24"/>
                <w:szCs w:val="24"/>
              </w:rPr>
              <w:t xml:space="preserve">The event might occur at some time. There could be history of casual occurrence. Most of the team know that the risk might occur and measures that reduce likelihood have been taken but are not full effective. </w:t>
            </w:r>
          </w:p>
        </w:tc>
      </w:tr>
      <w:tr w:rsidR="002C44C6" w:rsidRPr="00650CDF" w:rsidTr="0052788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Pr>
          <w:p w:rsidR="002C44C6" w:rsidRPr="00650CDF" w:rsidRDefault="002C44C6" w:rsidP="00650CDF">
            <w:pPr>
              <w:autoSpaceDE w:val="0"/>
              <w:autoSpaceDN w:val="0"/>
              <w:adjustRightInd w:val="0"/>
              <w:jc w:val="both"/>
              <w:rPr>
                <w:rFonts w:ascii="Arial" w:hAnsi="Arial" w:cs="Arial"/>
                <w:sz w:val="24"/>
                <w:szCs w:val="24"/>
              </w:rPr>
            </w:pPr>
            <w:r w:rsidRPr="00650CDF">
              <w:rPr>
                <w:rFonts w:ascii="Arial" w:hAnsi="Arial" w:cs="Arial"/>
                <w:sz w:val="24"/>
                <w:szCs w:val="24"/>
              </w:rPr>
              <w:t>Unlikely:</w:t>
            </w:r>
          </w:p>
        </w:tc>
        <w:tc>
          <w:tcPr>
            <w:tcW w:w="6521" w:type="dxa"/>
          </w:tcPr>
          <w:p w:rsidR="002C44C6" w:rsidRPr="00650CDF" w:rsidRDefault="002C44C6"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650CDF">
              <w:rPr>
                <w:rFonts w:ascii="Arial" w:hAnsi="Arial" w:cs="Arial"/>
                <w:b/>
                <w:sz w:val="24"/>
                <w:szCs w:val="24"/>
              </w:rPr>
              <w:t>Likelihood between 1% and 10%</w:t>
            </w:r>
          </w:p>
        </w:tc>
      </w:tr>
      <w:tr w:rsidR="002C44C6" w:rsidRPr="00650CDF" w:rsidTr="00527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2" w:type="dxa"/>
            <w:gridSpan w:val="2"/>
          </w:tcPr>
          <w:p w:rsidR="002C44C6" w:rsidRPr="00650CDF" w:rsidRDefault="002C44C6" w:rsidP="00650CDF">
            <w:pPr>
              <w:autoSpaceDE w:val="0"/>
              <w:autoSpaceDN w:val="0"/>
              <w:adjustRightInd w:val="0"/>
              <w:jc w:val="both"/>
              <w:rPr>
                <w:rFonts w:ascii="Arial" w:hAnsi="Arial" w:cs="Arial"/>
                <w:b w:val="0"/>
                <w:sz w:val="24"/>
                <w:szCs w:val="24"/>
              </w:rPr>
            </w:pPr>
            <w:r w:rsidRPr="00650CDF">
              <w:rPr>
                <w:rFonts w:ascii="Arial" w:hAnsi="Arial" w:cs="Arial"/>
                <w:b w:val="0"/>
                <w:sz w:val="24"/>
                <w:szCs w:val="24"/>
              </w:rPr>
              <w:t xml:space="preserve">Not expected, but there’s a slight possibility it could occur at some time. Some of the team consider this a risk that might occur. Conditions exist for this loss to occur, and probably requires more than two coincident events. </w:t>
            </w:r>
          </w:p>
          <w:p w:rsidR="002C44C6" w:rsidRPr="00650CDF" w:rsidRDefault="002C44C6" w:rsidP="00650CDF">
            <w:pPr>
              <w:autoSpaceDE w:val="0"/>
              <w:autoSpaceDN w:val="0"/>
              <w:adjustRightInd w:val="0"/>
              <w:jc w:val="both"/>
              <w:rPr>
                <w:rFonts w:ascii="Arial" w:hAnsi="Arial" w:cs="Arial"/>
                <w:sz w:val="24"/>
                <w:szCs w:val="24"/>
              </w:rPr>
            </w:pPr>
          </w:p>
        </w:tc>
      </w:tr>
      <w:tr w:rsidR="002C44C6" w:rsidRPr="00650CDF" w:rsidTr="0052788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Pr>
          <w:p w:rsidR="002C44C6" w:rsidRPr="00650CDF" w:rsidRDefault="002C44C6" w:rsidP="00650CDF">
            <w:pPr>
              <w:autoSpaceDE w:val="0"/>
              <w:autoSpaceDN w:val="0"/>
              <w:adjustRightInd w:val="0"/>
              <w:jc w:val="both"/>
              <w:rPr>
                <w:rFonts w:ascii="Arial" w:hAnsi="Arial" w:cs="Arial"/>
                <w:sz w:val="24"/>
                <w:szCs w:val="24"/>
              </w:rPr>
            </w:pPr>
            <w:r w:rsidRPr="00650CDF">
              <w:rPr>
                <w:rFonts w:ascii="Arial" w:hAnsi="Arial" w:cs="Arial"/>
                <w:sz w:val="24"/>
                <w:szCs w:val="24"/>
              </w:rPr>
              <w:t>Very Unlikely:</w:t>
            </w:r>
          </w:p>
        </w:tc>
        <w:tc>
          <w:tcPr>
            <w:tcW w:w="6521" w:type="dxa"/>
          </w:tcPr>
          <w:p w:rsidR="002C44C6" w:rsidRDefault="002C44C6"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650CDF">
              <w:rPr>
                <w:rFonts w:ascii="Arial" w:hAnsi="Arial" w:cs="Arial"/>
                <w:b/>
                <w:sz w:val="24"/>
                <w:szCs w:val="24"/>
              </w:rPr>
              <w:t>Likelihood less than 1%</w:t>
            </w:r>
          </w:p>
          <w:p w:rsidR="00650CDF" w:rsidRPr="00650CDF" w:rsidRDefault="00650CDF"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2C44C6" w:rsidRPr="00650CDF" w:rsidTr="00527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2" w:type="dxa"/>
            <w:gridSpan w:val="2"/>
          </w:tcPr>
          <w:p w:rsidR="002C44C6" w:rsidRPr="00650CDF" w:rsidRDefault="002C44C6" w:rsidP="00650CDF">
            <w:pPr>
              <w:autoSpaceDE w:val="0"/>
              <w:autoSpaceDN w:val="0"/>
              <w:adjustRightInd w:val="0"/>
              <w:jc w:val="both"/>
              <w:rPr>
                <w:rFonts w:ascii="Arial" w:hAnsi="Arial" w:cs="Arial"/>
                <w:b w:val="0"/>
                <w:sz w:val="24"/>
                <w:szCs w:val="24"/>
              </w:rPr>
            </w:pPr>
            <w:r w:rsidRPr="00650CDF">
              <w:rPr>
                <w:rFonts w:ascii="Arial" w:hAnsi="Arial" w:cs="Arial"/>
                <w:b w:val="0"/>
                <w:sz w:val="24"/>
                <w:szCs w:val="24"/>
              </w:rPr>
              <w:t xml:space="preserve">Highly unlikely, but may occur in exceptional circumstances. It could happen, but probably never will, no experience of similar failure. Probably requires three or more coincident events and if it has happened, sufficient controls are now in place. </w:t>
            </w:r>
          </w:p>
          <w:p w:rsidR="002C44C6" w:rsidRPr="00650CDF" w:rsidRDefault="002C44C6" w:rsidP="00650CDF">
            <w:pPr>
              <w:autoSpaceDE w:val="0"/>
              <w:autoSpaceDN w:val="0"/>
              <w:adjustRightInd w:val="0"/>
              <w:jc w:val="both"/>
              <w:rPr>
                <w:rFonts w:ascii="Arial" w:hAnsi="Arial" w:cs="Arial"/>
                <w:b w:val="0"/>
                <w:sz w:val="24"/>
                <w:szCs w:val="24"/>
              </w:rPr>
            </w:pPr>
          </w:p>
        </w:tc>
      </w:tr>
    </w:tbl>
    <w:p w:rsidR="002C44C6" w:rsidRPr="00650CDF" w:rsidRDefault="002C44C6" w:rsidP="00650CDF">
      <w:pPr>
        <w:autoSpaceDE w:val="0"/>
        <w:autoSpaceDN w:val="0"/>
        <w:adjustRightInd w:val="0"/>
        <w:spacing w:after="0" w:line="240" w:lineRule="auto"/>
        <w:ind w:left="720" w:hanging="720"/>
        <w:jc w:val="both"/>
        <w:rPr>
          <w:rFonts w:ascii="Arial" w:hAnsi="Arial" w:cs="Arial"/>
          <w:sz w:val="24"/>
          <w:szCs w:val="24"/>
        </w:rPr>
      </w:pPr>
    </w:p>
    <w:p w:rsidR="00D60F73"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4.13</w:t>
      </w:r>
      <w:r w:rsidR="00D60F73" w:rsidRPr="00650CDF">
        <w:rPr>
          <w:rFonts w:ascii="Arial" w:hAnsi="Arial" w:cs="Arial"/>
          <w:sz w:val="24"/>
          <w:szCs w:val="24"/>
        </w:rPr>
        <w:tab/>
        <w:t xml:space="preserve">A full outline of the impact descriptors are attached at </w:t>
      </w:r>
      <w:r w:rsidR="00D60F73" w:rsidRPr="00650CDF">
        <w:rPr>
          <w:rFonts w:ascii="Arial" w:hAnsi="Arial" w:cs="Arial"/>
          <w:b/>
          <w:sz w:val="24"/>
          <w:szCs w:val="24"/>
        </w:rPr>
        <w:t xml:space="preserve">Appendix </w:t>
      </w:r>
      <w:r w:rsidRPr="00650CDF">
        <w:rPr>
          <w:rFonts w:ascii="Arial" w:hAnsi="Arial" w:cs="Arial"/>
          <w:b/>
          <w:sz w:val="24"/>
          <w:szCs w:val="24"/>
        </w:rPr>
        <w:t>2</w:t>
      </w:r>
      <w:r w:rsidR="00D60F73" w:rsidRPr="00650CDF">
        <w:rPr>
          <w:rFonts w:ascii="Arial" w:hAnsi="Arial" w:cs="Arial"/>
          <w:sz w:val="24"/>
          <w:szCs w:val="24"/>
        </w:rPr>
        <w:t xml:space="preserve"> of this Risk Management Strategy.</w:t>
      </w:r>
    </w:p>
    <w:p w:rsidR="00723D4D"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p>
    <w:p w:rsidR="00650CDF" w:rsidRPr="00650CDF" w:rsidRDefault="00650CDF" w:rsidP="00650CDF">
      <w:pPr>
        <w:autoSpaceDE w:val="0"/>
        <w:autoSpaceDN w:val="0"/>
        <w:adjustRightInd w:val="0"/>
        <w:spacing w:after="0" w:line="240" w:lineRule="auto"/>
        <w:ind w:left="720" w:hanging="720"/>
        <w:jc w:val="both"/>
        <w:rPr>
          <w:rFonts w:ascii="Arial" w:hAnsi="Arial" w:cs="Arial"/>
          <w:sz w:val="24"/>
          <w:szCs w:val="24"/>
        </w:rPr>
      </w:pPr>
    </w:p>
    <w:p w:rsidR="00723D4D" w:rsidRPr="00650CDF" w:rsidRDefault="00723D4D" w:rsidP="00650CDF">
      <w:pPr>
        <w:pStyle w:val="Heading2"/>
        <w:numPr>
          <w:ilvl w:val="0"/>
          <w:numId w:val="5"/>
        </w:numPr>
        <w:spacing w:before="0"/>
        <w:jc w:val="both"/>
        <w:rPr>
          <w:rFonts w:ascii="Arial" w:hAnsi="Arial" w:cs="Arial"/>
          <w:noProof/>
          <w:sz w:val="24"/>
          <w:szCs w:val="24"/>
          <w:lang w:eastAsia="en-GB"/>
        </w:rPr>
      </w:pPr>
      <w:r w:rsidRPr="00650CDF">
        <w:rPr>
          <w:rFonts w:ascii="Arial" w:hAnsi="Arial" w:cs="Arial"/>
          <w:noProof/>
          <w:sz w:val="24"/>
          <w:szCs w:val="24"/>
          <w:lang w:eastAsia="en-GB"/>
        </w:rPr>
        <w:t>Addressing Risks</w:t>
      </w:r>
    </w:p>
    <w:p w:rsidR="00723D4D" w:rsidRPr="00650CDF" w:rsidRDefault="00723D4D" w:rsidP="00650CDF">
      <w:pPr>
        <w:autoSpaceDE w:val="0"/>
        <w:autoSpaceDN w:val="0"/>
        <w:adjustRightInd w:val="0"/>
        <w:spacing w:after="0" w:line="240" w:lineRule="auto"/>
        <w:jc w:val="both"/>
        <w:rPr>
          <w:rFonts w:ascii="Arial" w:hAnsi="Arial" w:cs="Arial"/>
          <w:b/>
          <w:sz w:val="24"/>
          <w:szCs w:val="24"/>
        </w:rPr>
      </w:pPr>
    </w:p>
    <w:p w:rsidR="00723D4D"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lastRenderedPageBreak/>
        <w:t>5.1</w:t>
      </w:r>
      <w:r w:rsidRPr="00650CDF">
        <w:rPr>
          <w:rFonts w:ascii="Arial" w:hAnsi="Arial" w:cs="Arial"/>
          <w:sz w:val="24"/>
          <w:szCs w:val="24"/>
        </w:rPr>
        <w:tab/>
        <w:t xml:space="preserve">The purpose of addressing risks is to turn uncertainty to the Group’s benefit by constraining threats and taking advantage of opportunities. </w:t>
      </w:r>
      <w:r w:rsidR="00A96F50" w:rsidRPr="00650CDF">
        <w:rPr>
          <w:rFonts w:ascii="Arial" w:hAnsi="Arial" w:cs="Arial"/>
          <w:sz w:val="24"/>
          <w:szCs w:val="24"/>
        </w:rPr>
        <w:t xml:space="preserve">The level of response required will be dependent and related to the level of Residual Risk exposure that remains following the risk assessment stage. This response needs to be proportionate to the level and material value of the risk and prioritised so that the organisation can more effectively manage and co-ordinate its risk management activities. </w:t>
      </w:r>
      <w:r w:rsidRPr="00650CDF">
        <w:rPr>
          <w:rFonts w:ascii="Arial" w:hAnsi="Arial" w:cs="Arial"/>
          <w:sz w:val="24"/>
          <w:szCs w:val="24"/>
        </w:rPr>
        <w:t xml:space="preserve"> </w:t>
      </w:r>
    </w:p>
    <w:p w:rsidR="00723D4D" w:rsidRPr="00650CDF" w:rsidRDefault="00723D4D" w:rsidP="00650CDF">
      <w:pPr>
        <w:autoSpaceDE w:val="0"/>
        <w:autoSpaceDN w:val="0"/>
        <w:adjustRightInd w:val="0"/>
        <w:spacing w:after="0" w:line="240" w:lineRule="auto"/>
        <w:jc w:val="both"/>
        <w:rPr>
          <w:rFonts w:ascii="Arial" w:hAnsi="Arial" w:cs="Arial"/>
          <w:sz w:val="24"/>
          <w:szCs w:val="24"/>
        </w:rPr>
      </w:pPr>
    </w:p>
    <w:p w:rsidR="00723D4D" w:rsidRPr="00650CDF" w:rsidRDefault="00723D4D"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5.2</w:t>
      </w:r>
      <w:r w:rsidRPr="00650CDF">
        <w:rPr>
          <w:rFonts w:ascii="Arial" w:hAnsi="Arial" w:cs="Arial"/>
          <w:sz w:val="24"/>
          <w:szCs w:val="24"/>
        </w:rPr>
        <w:tab/>
      </w:r>
      <w:r w:rsidR="00A96F50" w:rsidRPr="00650CDF">
        <w:rPr>
          <w:rFonts w:ascii="Arial" w:hAnsi="Arial" w:cs="Arial"/>
          <w:sz w:val="24"/>
          <w:szCs w:val="24"/>
        </w:rPr>
        <w:t>The Group will ensure that each risk is classified as follows:</w:t>
      </w:r>
    </w:p>
    <w:p w:rsidR="00723D4D" w:rsidRPr="00650CDF" w:rsidRDefault="00723D4D" w:rsidP="00650CDF">
      <w:pPr>
        <w:autoSpaceDE w:val="0"/>
        <w:autoSpaceDN w:val="0"/>
        <w:adjustRightInd w:val="0"/>
        <w:spacing w:after="0" w:line="240" w:lineRule="auto"/>
        <w:jc w:val="both"/>
        <w:rPr>
          <w:rFonts w:ascii="Arial" w:hAnsi="Arial" w:cs="Arial"/>
          <w:sz w:val="24"/>
          <w:szCs w:val="24"/>
        </w:rPr>
      </w:pPr>
    </w:p>
    <w:tbl>
      <w:tblPr>
        <w:tblStyle w:val="LightGrid-Accent1"/>
        <w:tblW w:w="0" w:type="auto"/>
        <w:tblInd w:w="1101" w:type="dxa"/>
        <w:tblLook w:val="04A0" w:firstRow="1" w:lastRow="0" w:firstColumn="1" w:lastColumn="0" w:noHBand="0" w:noVBand="1"/>
      </w:tblPr>
      <w:tblGrid>
        <w:gridCol w:w="2551"/>
        <w:gridCol w:w="5924"/>
      </w:tblGrid>
      <w:tr w:rsidR="00723D4D" w:rsidRPr="00650CDF" w:rsidTr="00207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bottom w:val="single" w:sz="8" w:space="0" w:color="4F81BD" w:themeColor="accent1"/>
            </w:tcBorders>
          </w:tcPr>
          <w:p w:rsidR="00723D4D" w:rsidRPr="00650CDF" w:rsidRDefault="00723D4D" w:rsidP="00650CDF">
            <w:pPr>
              <w:autoSpaceDE w:val="0"/>
              <w:autoSpaceDN w:val="0"/>
              <w:adjustRightInd w:val="0"/>
              <w:jc w:val="both"/>
              <w:rPr>
                <w:rFonts w:ascii="Arial" w:hAnsi="Arial" w:cs="Arial"/>
                <w:sz w:val="24"/>
                <w:szCs w:val="24"/>
              </w:rPr>
            </w:pPr>
            <w:r w:rsidRPr="00650CDF">
              <w:rPr>
                <w:rFonts w:ascii="Arial" w:hAnsi="Arial" w:cs="Arial"/>
                <w:sz w:val="24"/>
                <w:szCs w:val="24"/>
              </w:rPr>
              <w:t>TOLERATE</w:t>
            </w:r>
          </w:p>
        </w:tc>
        <w:tc>
          <w:tcPr>
            <w:tcW w:w="5924" w:type="dxa"/>
            <w:tcBorders>
              <w:bottom w:val="single" w:sz="8" w:space="0" w:color="4F81BD" w:themeColor="accent1"/>
            </w:tcBorders>
          </w:tcPr>
          <w:p w:rsidR="00723D4D" w:rsidRPr="00650CDF" w:rsidRDefault="00723D4D" w:rsidP="00650CD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650CDF">
              <w:rPr>
                <w:rFonts w:ascii="Arial" w:hAnsi="Arial" w:cs="Arial"/>
                <w:b w:val="0"/>
                <w:sz w:val="24"/>
                <w:szCs w:val="24"/>
              </w:rPr>
              <w:t xml:space="preserve">The exposure may be tolerable without any further action being taken. Even if it is not tolerable, the ability to do anything about some risks may be limited, or the cost of taking such action may be disproportional to the potential benefit gained. </w:t>
            </w:r>
          </w:p>
        </w:tc>
      </w:tr>
      <w:tr w:rsidR="00723D4D" w:rsidRPr="00650CDF" w:rsidTr="00207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23D4D" w:rsidRPr="00650CDF" w:rsidRDefault="00723D4D" w:rsidP="00650CDF">
            <w:pPr>
              <w:autoSpaceDE w:val="0"/>
              <w:autoSpaceDN w:val="0"/>
              <w:adjustRightInd w:val="0"/>
              <w:jc w:val="both"/>
              <w:rPr>
                <w:rFonts w:ascii="Arial" w:hAnsi="Arial" w:cs="Arial"/>
                <w:sz w:val="24"/>
                <w:szCs w:val="24"/>
              </w:rPr>
            </w:pPr>
            <w:r w:rsidRPr="00650CDF">
              <w:rPr>
                <w:rFonts w:ascii="Arial" w:hAnsi="Arial" w:cs="Arial"/>
                <w:sz w:val="24"/>
                <w:szCs w:val="24"/>
              </w:rPr>
              <w:t>TREAT:</w:t>
            </w:r>
          </w:p>
        </w:tc>
        <w:tc>
          <w:tcPr>
            <w:tcW w:w="5924" w:type="dxa"/>
          </w:tcPr>
          <w:p w:rsidR="00723D4D" w:rsidRPr="00650CDF" w:rsidRDefault="00723D4D"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50CDF">
              <w:rPr>
                <w:rFonts w:ascii="Arial" w:hAnsi="Arial" w:cs="Arial"/>
                <w:sz w:val="24"/>
                <w:szCs w:val="24"/>
              </w:rPr>
              <w:t xml:space="preserve">By far the greatest number of risks will be addressed in this way. The purpose of treatment is that whilst continuing within the </w:t>
            </w:r>
            <w:r w:rsidR="002070F2">
              <w:rPr>
                <w:rFonts w:ascii="Arial" w:hAnsi="Arial" w:cs="Arial"/>
                <w:sz w:val="24"/>
                <w:szCs w:val="24"/>
              </w:rPr>
              <w:t>Group</w:t>
            </w:r>
            <w:r w:rsidRPr="00650CDF">
              <w:rPr>
                <w:rFonts w:ascii="Arial" w:hAnsi="Arial" w:cs="Arial"/>
                <w:sz w:val="24"/>
                <w:szCs w:val="24"/>
              </w:rPr>
              <w:t xml:space="preserve"> with the activity giving rise to risk, action (control) is taken to constrain the risk to an acceptable level.</w:t>
            </w:r>
          </w:p>
        </w:tc>
      </w:tr>
      <w:tr w:rsidR="00723D4D" w:rsidRPr="00650CDF" w:rsidTr="002070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23D4D" w:rsidRPr="00650CDF" w:rsidRDefault="00723D4D" w:rsidP="00650CDF">
            <w:pPr>
              <w:autoSpaceDE w:val="0"/>
              <w:autoSpaceDN w:val="0"/>
              <w:adjustRightInd w:val="0"/>
              <w:jc w:val="both"/>
              <w:rPr>
                <w:rFonts w:ascii="Arial" w:hAnsi="Arial" w:cs="Arial"/>
                <w:sz w:val="24"/>
                <w:szCs w:val="24"/>
              </w:rPr>
            </w:pPr>
            <w:r w:rsidRPr="00650CDF">
              <w:rPr>
                <w:rFonts w:ascii="Arial" w:hAnsi="Arial" w:cs="Arial"/>
                <w:sz w:val="24"/>
                <w:szCs w:val="24"/>
              </w:rPr>
              <w:t>TRANSFER:</w:t>
            </w:r>
          </w:p>
        </w:tc>
        <w:tc>
          <w:tcPr>
            <w:tcW w:w="5924" w:type="dxa"/>
          </w:tcPr>
          <w:p w:rsidR="00723D4D" w:rsidRPr="00650CDF" w:rsidRDefault="00723D4D"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 xml:space="preserve">For some risks the best response may be to transfer them. This might be done by conventional insurance, or it might be done by paying a third party to take the risk in another way. This option is particularly good for mitigating financial risks to assets. </w:t>
            </w:r>
          </w:p>
        </w:tc>
      </w:tr>
      <w:tr w:rsidR="00723D4D" w:rsidRPr="00650CDF" w:rsidTr="00207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23D4D" w:rsidRPr="00650CDF" w:rsidRDefault="00723D4D" w:rsidP="00650CDF">
            <w:pPr>
              <w:autoSpaceDE w:val="0"/>
              <w:autoSpaceDN w:val="0"/>
              <w:adjustRightInd w:val="0"/>
              <w:jc w:val="both"/>
              <w:rPr>
                <w:rFonts w:ascii="Arial" w:hAnsi="Arial" w:cs="Arial"/>
                <w:sz w:val="24"/>
                <w:szCs w:val="24"/>
              </w:rPr>
            </w:pPr>
            <w:r w:rsidRPr="00650CDF">
              <w:rPr>
                <w:rFonts w:ascii="Arial" w:hAnsi="Arial" w:cs="Arial"/>
                <w:sz w:val="24"/>
                <w:szCs w:val="24"/>
              </w:rPr>
              <w:t>TERMINATE:</w:t>
            </w:r>
          </w:p>
        </w:tc>
        <w:tc>
          <w:tcPr>
            <w:tcW w:w="5924" w:type="dxa"/>
          </w:tcPr>
          <w:p w:rsidR="00723D4D" w:rsidRPr="00650CDF" w:rsidRDefault="00723D4D" w:rsidP="00650C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50CDF">
              <w:rPr>
                <w:rFonts w:ascii="Arial" w:hAnsi="Arial" w:cs="Arial"/>
                <w:sz w:val="24"/>
                <w:szCs w:val="24"/>
              </w:rPr>
              <w:t>Some risks will only be treatable, or confinable to acceptable levels, by terminating the activities.</w:t>
            </w:r>
          </w:p>
        </w:tc>
      </w:tr>
      <w:tr w:rsidR="00723D4D" w:rsidRPr="00650CDF" w:rsidTr="002070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723D4D" w:rsidRPr="00650CDF" w:rsidRDefault="00723D4D" w:rsidP="00650CDF">
            <w:pPr>
              <w:autoSpaceDE w:val="0"/>
              <w:autoSpaceDN w:val="0"/>
              <w:adjustRightInd w:val="0"/>
              <w:rPr>
                <w:rFonts w:ascii="Arial" w:hAnsi="Arial" w:cs="Arial"/>
                <w:sz w:val="24"/>
                <w:szCs w:val="24"/>
              </w:rPr>
            </w:pPr>
            <w:r w:rsidRPr="00650CDF">
              <w:rPr>
                <w:rFonts w:ascii="Arial" w:hAnsi="Arial" w:cs="Arial"/>
                <w:sz w:val="24"/>
                <w:szCs w:val="24"/>
              </w:rPr>
              <w:t>TAKE THE OPPORTUNITY:</w:t>
            </w:r>
          </w:p>
        </w:tc>
        <w:tc>
          <w:tcPr>
            <w:tcW w:w="5924" w:type="dxa"/>
          </w:tcPr>
          <w:p w:rsidR="00723D4D" w:rsidRPr="00650CDF" w:rsidRDefault="00723D4D" w:rsidP="00650CDF">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50CDF">
              <w:rPr>
                <w:rFonts w:ascii="Arial" w:hAnsi="Arial" w:cs="Arial"/>
                <w:sz w:val="24"/>
                <w:szCs w:val="24"/>
              </w:rPr>
              <w:t>This option is not an alternative to those above; rather it is an option which should be considered whenever tolerating, transferring or treating a risk.</w:t>
            </w:r>
          </w:p>
        </w:tc>
      </w:tr>
    </w:tbl>
    <w:p w:rsidR="00723D4D" w:rsidRPr="00650CDF" w:rsidRDefault="00723D4D" w:rsidP="00650CDF">
      <w:pPr>
        <w:autoSpaceDE w:val="0"/>
        <w:autoSpaceDN w:val="0"/>
        <w:adjustRightInd w:val="0"/>
        <w:spacing w:after="0" w:line="240" w:lineRule="auto"/>
        <w:jc w:val="both"/>
        <w:rPr>
          <w:rFonts w:ascii="Arial" w:hAnsi="Arial" w:cs="Arial"/>
          <w:sz w:val="24"/>
          <w:szCs w:val="24"/>
        </w:rPr>
      </w:pPr>
    </w:p>
    <w:p w:rsidR="00723D4D" w:rsidRPr="00650CDF" w:rsidRDefault="00A96F50"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5.3</w:t>
      </w:r>
      <w:r w:rsidRPr="00650CDF">
        <w:rPr>
          <w:rFonts w:ascii="Arial" w:hAnsi="Arial" w:cs="Arial"/>
          <w:sz w:val="24"/>
          <w:szCs w:val="24"/>
        </w:rPr>
        <w:tab/>
      </w:r>
      <w:r w:rsidR="00723D4D" w:rsidRPr="00650CDF">
        <w:rPr>
          <w:rFonts w:ascii="Arial" w:hAnsi="Arial" w:cs="Arial"/>
          <w:sz w:val="24"/>
          <w:szCs w:val="24"/>
        </w:rPr>
        <w:t>In reaching its conclusions and making decisions, the Management Committee should also consider the following:</w:t>
      </w:r>
    </w:p>
    <w:p w:rsidR="00723D4D" w:rsidRPr="00650CDF" w:rsidRDefault="00723D4D" w:rsidP="00650CDF">
      <w:pPr>
        <w:autoSpaceDE w:val="0"/>
        <w:autoSpaceDN w:val="0"/>
        <w:adjustRightInd w:val="0"/>
        <w:spacing w:after="0" w:line="240" w:lineRule="auto"/>
        <w:jc w:val="both"/>
        <w:rPr>
          <w:rFonts w:ascii="Arial" w:hAnsi="Arial" w:cs="Arial"/>
          <w:sz w:val="24"/>
          <w:szCs w:val="24"/>
        </w:rPr>
      </w:pPr>
    </w:p>
    <w:p w:rsidR="00723D4D" w:rsidRPr="00650CDF" w:rsidRDefault="00723D4D" w:rsidP="00650CDF">
      <w:pPr>
        <w:autoSpaceDE w:val="0"/>
        <w:autoSpaceDN w:val="0"/>
        <w:adjustRightInd w:val="0"/>
        <w:spacing w:after="0" w:line="240" w:lineRule="auto"/>
        <w:ind w:firstLine="720"/>
        <w:jc w:val="both"/>
        <w:rPr>
          <w:rFonts w:ascii="Arial" w:hAnsi="Arial" w:cs="Arial"/>
          <w:b/>
          <w:sz w:val="24"/>
          <w:szCs w:val="24"/>
        </w:rPr>
      </w:pPr>
      <w:r w:rsidRPr="00650CDF">
        <w:rPr>
          <w:rFonts w:ascii="Arial" w:hAnsi="Arial" w:cs="Arial"/>
          <w:b/>
          <w:sz w:val="24"/>
          <w:szCs w:val="24"/>
        </w:rPr>
        <w:t>Control Environment</w:t>
      </w:r>
    </w:p>
    <w:p w:rsidR="00723D4D" w:rsidRPr="00650CDF" w:rsidRDefault="00723D4D" w:rsidP="00650CDF">
      <w:pPr>
        <w:autoSpaceDE w:val="0"/>
        <w:autoSpaceDN w:val="0"/>
        <w:adjustRightInd w:val="0"/>
        <w:spacing w:after="0" w:line="240" w:lineRule="auto"/>
        <w:jc w:val="both"/>
        <w:rPr>
          <w:rFonts w:ascii="Arial" w:hAnsi="Arial" w:cs="Arial"/>
          <w:b/>
          <w:sz w:val="24"/>
          <w:szCs w:val="24"/>
        </w:rPr>
      </w:pP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 xml:space="preserve">The </w:t>
      </w:r>
      <w:r w:rsidR="002070F2">
        <w:rPr>
          <w:rFonts w:ascii="Arial" w:hAnsi="Arial" w:cs="Arial"/>
          <w:sz w:val="24"/>
          <w:szCs w:val="24"/>
        </w:rPr>
        <w:t>Group</w:t>
      </w:r>
      <w:r w:rsidRPr="00650CDF">
        <w:rPr>
          <w:rFonts w:ascii="Arial" w:hAnsi="Arial" w:cs="Arial"/>
          <w:sz w:val="24"/>
          <w:szCs w:val="24"/>
        </w:rPr>
        <w:t>’s objectives and its financial and non-financial targets.</w:t>
      </w: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Organisational structure and calibre of the Executive Management Team.</w:t>
      </w: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Culture, approach and resources with respect to the management of risk.</w:t>
      </w: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Scheme of delegation.</w:t>
      </w: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Public reporting.</w:t>
      </w:r>
    </w:p>
    <w:p w:rsidR="00650CDF" w:rsidRPr="00650CDF" w:rsidRDefault="00650CDF" w:rsidP="00650CDF">
      <w:pPr>
        <w:autoSpaceDE w:val="0"/>
        <w:autoSpaceDN w:val="0"/>
        <w:adjustRightInd w:val="0"/>
        <w:spacing w:after="0" w:line="240" w:lineRule="auto"/>
        <w:jc w:val="both"/>
        <w:rPr>
          <w:rFonts w:ascii="Arial" w:hAnsi="Arial" w:cs="Arial"/>
          <w:b/>
          <w:sz w:val="24"/>
          <w:szCs w:val="24"/>
        </w:rPr>
      </w:pPr>
    </w:p>
    <w:p w:rsidR="00723D4D" w:rsidRPr="00650CDF" w:rsidRDefault="00723D4D" w:rsidP="00650CDF">
      <w:pPr>
        <w:autoSpaceDE w:val="0"/>
        <w:autoSpaceDN w:val="0"/>
        <w:adjustRightInd w:val="0"/>
        <w:spacing w:after="0" w:line="240" w:lineRule="auto"/>
        <w:ind w:firstLine="720"/>
        <w:jc w:val="both"/>
        <w:rPr>
          <w:rFonts w:ascii="Arial" w:hAnsi="Arial" w:cs="Arial"/>
          <w:b/>
          <w:sz w:val="24"/>
          <w:szCs w:val="24"/>
        </w:rPr>
      </w:pPr>
      <w:r w:rsidRPr="00650CDF">
        <w:rPr>
          <w:rFonts w:ascii="Arial" w:hAnsi="Arial" w:cs="Arial"/>
          <w:b/>
          <w:sz w:val="24"/>
          <w:szCs w:val="24"/>
        </w:rPr>
        <w:t>Ongoing Identification and Evaluation of Key Risks</w:t>
      </w:r>
    </w:p>
    <w:p w:rsidR="00723D4D" w:rsidRPr="00650CDF" w:rsidRDefault="00723D4D" w:rsidP="00650CDF">
      <w:pPr>
        <w:autoSpaceDE w:val="0"/>
        <w:autoSpaceDN w:val="0"/>
        <w:adjustRightInd w:val="0"/>
        <w:spacing w:after="0" w:line="240" w:lineRule="auto"/>
        <w:jc w:val="both"/>
        <w:rPr>
          <w:rFonts w:ascii="Arial" w:hAnsi="Arial" w:cs="Arial"/>
          <w:b/>
          <w:sz w:val="24"/>
          <w:szCs w:val="24"/>
        </w:rPr>
      </w:pP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Timely identification and assessment of significant risks.</w:t>
      </w: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lastRenderedPageBreak/>
        <w:t>Prioritisation of risks and the allocation of resources to address areas of high exposure.</w:t>
      </w:r>
    </w:p>
    <w:p w:rsidR="00723D4D" w:rsidRPr="00650CDF" w:rsidRDefault="00723D4D" w:rsidP="00650CDF">
      <w:pPr>
        <w:autoSpaceDE w:val="0"/>
        <w:autoSpaceDN w:val="0"/>
        <w:adjustRightInd w:val="0"/>
        <w:spacing w:after="0" w:line="240" w:lineRule="auto"/>
        <w:jc w:val="both"/>
        <w:rPr>
          <w:rFonts w:ascii="Arial" w:hAnsi="Arial" w:cs="Arial"/>
          <w:sz w:val="24"/>
          <w:szCs w:val="24"/>
        </w:rPr>
      </w:pPr>
    </w:p>
    <w:p w:rsidR="00723D4D" w:rsidRPr="00650CDF" w:rsidRDefault="00723D4D" w:rsidP="00650CDF">
      <w:pPr>
        <w:autoSpaceDE w:val="0"/>
        <w:autoSpaceDN w:val="0"/>
        <w:adjustRightInd w:val="0"/>
        <w:spacing w:after="0" w:line="240" w:lineRule="auto"/>
        <w:ind w:firstLine="720"/>
        <w:jc w:val="both"/>
        <w:rPr>
          <w:rFonts w:ascii="Arial" w:hAnsi="Arial" w:cs="Arial"/>
          <w:b/>
          <w:sz w:val="24"/>
          <w:szCs w:val="24"/>
        </w:rPr>
      </w:pPr>
      <w:r w:rsidRPr="00650CDF">
        <w:rPr>
          <w:rFonts w:ascii="Arial" w:hAnsi="Arial" w:cs="Arial"/>
          <w:b/>
          <w:sz w:val="24"/>
          <w:szCs w:val="24"/>
        </w:rPr>
        <w:t>Information and Communication</w:t>
      </w:r>
    </w:p>
    <w:p w:rsidR="00723D4D" w:rsidRPr="00650CDF" w:rsidRDefault="00723D4D" w:rsidP="00650CDF">
      <w:pPr>
        <w:autoSpaceDE w:val="0"/>
        <w:autoSpaceDN w:val="0"/>
        <w:adjustRightInd w:val="0"/>
        <w:spacing w:after="0" w:line="240" w:lineRule="auto"/>
        <w:jc w:val="both"/>
        <w:rPr>
          <w:rFonts w:ascii="Arial" w:hAnsi="Arial" w:cs="Arial"/>
          <w:sz w:val="24"/>
          <w:szCs w:val="24"/>
        </w:rPr>
      </w:pP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Quality and timeliness of information on key issues and assurance providing activities.</w:t>
      </w: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Time it takes for control breakdowns to be recognised or new risks to be identified.</w:t>
      </w:r>
    </w:p>
    <w:p w:rsidR="00723D4D" w:rsidRPr="00650CDF" w:rsidRDefault="00723D4D" w:rsidP="00650CDF">
      <w:pPr>
        <w:autoSpaceDE w:val="0"/>
        <w:autoSpaceDN w:val="0"/>
        <w:adjustRightInd w:val="0"/>
        <w:spacing w:after="0" w:line="240" w:lineRule="auto"/>
        <w:jc w:val="both"/>
        <w:rPr>
          <w:rFonts w:ascii="Arial" w:hAnsi="Arial" w:cs="Arial"/>
          <w:b/>
          <w:sz w:val="24"/>
          <w:szCs w:val="24"/>
        </w:rPr>
      </w:pPr>
    </w:p>
    <w:p w:rsidR="00723D4D" w:rsidRPr="00650CDF" w:rsidRDefault="00723D4D" w:rsidP="00650CDF">
      <w:pPr>
        <w:autoSpaceDE w:val="0"/>
        <w:autoSpaceDN w:val="0"/>
        <w:adjustRightInd w:val="0"/>
        <w:spacing w:after="0" w:line="240" w:lineRule="auto"/>
        <w:ind w:firstLine="720"/>
        <w:jc w:val="both"/>
        <w:rPr>
          <w:rFonts w:ascii="Arial" w:hAnsi="Arial" w:cs="Arial"/>
          <w:b/>
          <w:sz w:val="24"/>
          <w:szCs w:val="24"/>
        </w:rPr>
      </w:pPr>
      <w:r w:rsidRPr="00650CDF">
        <w:rPr>
          <w:rFonts w:ascii="Arial" w:hAnsi="Arial" w:cs="Arial"/>
          <w:b/>
          <w:sz w:val="24"/>
          <w:szCs w:val="24"/>
        </w:rPr>
        <w:t>Monitoring and Corrective Action</w:t>
      </w:r>
    </w:p>
    <w:p w:rsidR="00723D4D" w:rsidRPr="00650CDF" w:rsidRDefault="00723D4D" w:rsidP="00650CDF">
      <w:pPr>
        <w:autoSpaceDE w:val="0"/>
        <w:autoSpaceDN w:val="0"/>
        <w:adjustRightInd w:val="0"/>
        <w:spacing w:after="0" w:line="240" w:lineRule="auto"/>
        <w:jc w:val="both"/>
        <w:rPr>
          <w:rFonts w:ascii="Arial" w:hAnsi="Arial" w:cs="Arial"/>
          <w:b/>
          <w:sz w:val="24"/>
          <w:szCs w:val="24"/>
        </w:rPr>
      </w:pP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 xml:space="preserve">Ability of the </w:t>
      </w:r>
      <w:r w:rsidR="002070F2">
        <w:rPr>
          <w:rFonts w:ascii="Arial" w:hAnsi="Arial" w:cs="Arial"/>
          <w:sz w:val="24"/>
          <w:szCs w:val="24"/>
        </w:rPr>
        <w:t>Group</w:t>
      </w:r>
      <w:r w:rsidRPr="00650CDF">
        <w:rPr>
          <w:rFonts w:ascii="Arial" w:hAnsi="Arial" w:cs="Arial"/>
          <w:sz w:val="24"/>
          <w:szCs w:val="24"/>
        </w:rPr>
        <w:t xml:space="preserve"> to learn from its problems.</w:t>
      </w:r>
    </w:p>
    <w:p w:rsidR="00723D4D" w:rsidRPr="00650CDF" w:rsidRDefault="00723D4D" w:rsidP="00650CDF">
      <w:pPr>
        <w:pStyle w:val="ListParagraph"/>
        <w:numPr>
          <w:ilvl w:val="0"/>
          <w:numId w:val="3"/>
        </w:num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 xml:space="preserve">Commitment and speed with which corrective actions are implemented. </w:t>
      </w:r>
    </w:p>
    <w:p w:rsidR="00723D4D" w:rsidRPr="00650CDF" w:rsidRDefault="00723D4D" w:rsidP="00650CDF">
      <w:pPr>
        <w:autoSpaceDE w:val="0"/>
        <w:autoSpaceDN w:val="0"/>
        <w:adjustRightInd w:val="0"/>
        <w:spacing w:after="0" w:line="240" w:lineRule="auto"/>
        <w:ind w:left="720" w:hanging="720"/>
        <w:jc w:val="both"/>
        <w:rPr>
          <w:rFonts w:ascii="Arial" w:hAnsi="Arial" w:cs="Arial"/>
          <w:sz w:val="24"/>
          <w:szCs w:val="24"/>
        </w:rPr>
      </w:pPr>
    </w:p>
    <w:p w:rsidR="00A96F50" w:rsidRPr="00650CDF" w:rsidRDefault="00A96F50"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5.4</w:t>
      </w:r>
      <w:r w:rsidRPr="00650CDF">
        <w:rPr>
          <w:rFonts w:ascii="Arial" w:hAnsi="Arial" w:cs="Arial"/>
          <w:sz w:val="24"/>
          <w:szCs w:val="24"/>
        </w:rPr>
        <w:tab/>
        <w:t>In all cases other than that of Tolerate, risk action(s) will be determined as deemed necessary to reduce the level of residual risk to that of the accepted risk. These actions will be incorporated into Corporate Service Plans and the Risk Register and priorities accordingly.</w:t>
      </w:r>
    </w:p>
    <w:p w:rsidR="00A96F50" w:rsidRPr="00650CDF" w:rsidRDefault="00A96F50" w:rsidP="00650CDF">
      <w:pPr>
        <w:autoSpaceDE w:val="0"/>
        <w:autoSpaceDN w:val="0"/>
        <w:adjustRightInd w:val="0"/>
        <w:spacing w:after="0" w:line="240" w:lineRule="auto"/>
        <w:ind w:left="720" w:hanging="720"/>
        <w:jc w:val="both"/>
        <w:rPr>
          <w:rFonts w:ascii="Arial" w:hAnsi="Arial" w:cs="Arial"/>
          <w:sz w:val="24"/>
          <w:szCs w:val="24"/>
        </w:rPr>
      </w:pPr>
    </w:p>
    <w:p w:rsidR="00A96F50" w:rsidRPr="00650CDF" w:rsidRDefault="00A96F50" w:rsidP="00650CDF">
      <w:pPr>
        <w:pStyle w:val="ListParagraph"/>
        <w:numPr>
          <w:ilvl w:val="1"/>
          <w:numId w:val="5"/>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Once determined these actions will be mapped to the risk, so that the ongoing impact of this intervention and improvement can be measured and subsequently assessed and reassessed. These actions will consider the prevention, reduction or transferring of risk.</w:t>
      </w:r>
    </w:p>
    <w:p w:rsidR="00A96F50" w:rsidRPr="00650CDF" w:rsidRDefault="00A96F50" w:rsidP="00650CDF">
      <w:pPr>
        <w:autoSpaceDE w:val="0"/>
        <w:autoSpaceDN w:val="0"/>
        <w:adjustRightInd w:val="0"/>
        <w:spacing w:after="0" w:line="240" w:lineRule="auto"/>
        <w:jc w:val="both"/>
        <w:rPr>
          <w:rFonts w:ascii="Arial" w:hAnsi="Arial" w:cs="Arial"/>
          <w:sz w:val="24"/>
          <w:szCs w:val="24"/>
        </w:rPr>
      </w:pPr>
    </w:p>
    <w:p w:rsidR="00A96F50" w:rsidRPr="00650CDF" w:rsidRDefault="00A96F50" w:rsidP="00650CDF">
      <w:pPr>
        <w:pStyle w:val="ListParagraph"/>
        <w:numPr>
          <w:ilvl w:val="1"/>
          <w:numId w:val="5"/>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The Group recognises that risks can and do accumulate, this can occur over a short period of time and as such can make the combined impact and probability of the risk more significant upon the Group’s activities and corporate objectives. </w:t>
      </w:r>
    </w:p>
    <w:p w:rsidR="00A96F50" w:rsidRPr="00650CDF" w:rsidRDefault="00A96F50" w:rsidP="00650CDF">
      <w:pPr>
        <w:autoSpaceDE w:val="0"/>
        <w:autoSpaceDN w:val="0"/>
        <w:adjustRightInd w:val="0"/>
        <w:spacing w:after="0" w:line="240" w:lineRule="auto"/>
        <w:jc w:val="both"/>
        <w:rPr>
          <w:rFonts w:ascii="Arial" w:hAnsi="Arial" w:cs="Arial"/>
          <w:sz w:val="24"/>
          <w:szCs w:val="24"/>
        </w:rPr>
      </w:pPr>
    </w:p>
    <w:p w:rsidR="00A96F50" w:rsidRPr="00650CDF" w:rsidRDefault="00A96F50" w:rsidP="00650CDF">
      <w:pPr>
        <w:pStyle w:val="ListParagraph"/>
        <w:numPr>
          <w:ilvl w:val="1"/>
          <w:numId w:val="5"/>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By definition, it is difficult to predict with absolute certainty how and when such an accumulation of risk may occur. To address this, the Group will:</w:t>
      </w:r>
    </w:p>
    <w:p w:rsidR="00A96F50" w:rsidRPr="00650CDF" w:rsidRDefault="00A96F50" w:rsidP="00650CDF">
      <w:pPr>
        <w:autoSpaceDE w:val="0"/>
        <w:autoSpaceDN w:val="0"/>
        <w:adjustRightInd w:val="0"/>
        <w:spacing w:after="0" w:line="240" w:lineRule="auto"/>
        <w:ind w:left="720"/>
        <w:jc w:val="both"/>
        <w:rPr>
          <w:rFonts w:ascii="Arial" w:hAnsi="Arial" w:cs="Arial"/>
          <w:sz w:val="24"/>
          <w:szCs w:val="24"/>
        </w:rPr>
      </w:pPr>
    </w:p>
    <w:p w:rsidR="00A96F50" w:rsidRPr="00650CDF" w:rsidRDefault="00A96F50"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Consider the future exposure of cross functional and subsidiary operational risks as part of the risk review processes.</w:t>
      </w:r>
    </w:p>
    <w:p w:rsidR="00A96F50" w:rsidRPr="00650CDF" w:rsidRDefault="00A96F50" w:rsidP="00650CDF">
      <w:pPr>
        <w:pStyle w:val="ListParagraph"/>
        <w:autoSpaceDE w:val="0"/>
        <w:autoSpaceDN w:val="0"/>
        <w:adjustRightInd w:val="0"/>
        <w:spacing w:after="0" w:line="240" w:lineRule="auto"/>
        <w:ind w:left="1440"/>
        <w:jc w:val="both"/>
        <w:rPr>
          <w:rFonts w:ascii="Arial" w:hAnsi="Arial" w:cs="Arial"/>
          <w:sz w:val="24"/>
          <w:szCs w:val="24"/>
        </w:rPr>
      </w:pPr>
    </w:p>
    <w:p w:rsidR="00A96F50" w:rsidRPr="00650CDF" w:rsidRDefault="00A96F50"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Ensure that all risks are cross referenced, especially new or emerging risks, so that the Executive Management Team and the respective Boards can consider the full impact of any changes in risk actions.</w:t>
      </w:r>
    </w:p>
    <w:p w:rsidR="00A96F50" w:rsidRPr="00650CDF" w:rsidRDefault="00A96F50" w:rsidP="00650CDF">
      <w:pPr>
        <w:autoSpaceDE w:val="0"/>
        <w:autoSpaceDN w:val="0"/>
        <w:adjustRightInd w:val="0"/>
        <w:spacing w:after="0" w:line="240" w:lineRule="auto"/>
        <w:jc w:val="both"/>
        <w:rPr>
          <w:rFonts w:ascii="Arial" w:hAnsi="Arial" w:cs="Arial"/>
          <w:sz w:val="24"/>
          <w:szCs w:val="24"/>
        </w:rPr>
      </w:pPr>
    </w:p>
    <w:p w:rsidR="00A96F50" w:rsidRPr="00650CDF" w:rsidRDefault="00A96F50"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Allocate responsibility to nominated Executive Managers to assess and validate cross functional risks.</w:t>
      </w:r>
      <w:r w:rsidRPr="00650CDF">
        <w:rPr>
          <w:rFonts w:ascii="Arial" w:hAnsi="Arial" w:cs="Arial"/>
          <w:sz w:val="24"/>
          <w:szCs w:val="24"/>
        </w:rPr>
        <w:tab/>
      </w:r>
    </w:p>
    <w:p w:rsidR="00A96F50" w:rsidRDefault="00A96F50" w:rsidP="00650CDF">
      <w:pPr>
        <w:autoSpaceDE w:val="0"/>
        <w:autoSpaceDN w:val="0"/>
        <w:adjustRightInd w:val="0"/>
        <w:spacing w:after="0" w:line="240" w:lineRule="auto"/>
        <w:jc w:val="both"/>
        <w:rPr>
          <w:rFonts w:ascii="Arial" w:hAnsi="Arial" w:cs="Arial"/>
          <w:sz w:val="24"/>
          <w:szCs w:val="24"/>
        </w:rPr>
      </w:pPr>
    </w:p>
    <w:p w:rsidR="00E916CB" w:rsidRPr="00650CDF" w:rsidRDefault="00E916CB" w:rsidP="00650CDF">
      <w:pPr>
        <w:autoSpaceDE w:val="0"/>
        <w:autoSpaceDN w:val="0"/>
        <w:adjustRightInd w:val="0"/>
        <w:spacing w:after="0" w:line="240" w:lineRule="auto"/>
        <w:jc w:val="both"/>
        <w:rPr>
          <w:rFonts w:ascii="Arial" w:hAnsi="Arial" w:cs="Arial"/>
          <w:sz w:val="24"/>
          <w:szCs w:val="24"/>
        </w:rPr>
      </w:pPr>
    </w:p>
    <w:p w:rsidR="00A96F50" w:rsidRPr="00650CDF" w:rsidRDefault="00A96F50" w:rsidP="00650CDF">
      <w:pPr>
        <w:pStyle w:val="Heading2"/>
        <w:numPr>
          <w:ilvl w:val="0"/>
          <w:numId w:val="5"/>
        </w:numPr>
        <w:spacing w:before="0"/>
        <w:jc w:val="both"/>
        <w:rPr>
          <w:rFonts w:ascii="Arial" w:hAnsi="Arial" w:cs="Arial"/>
          <w:noProof/>
          <w:sz w:val="24"/>
          <w:szCs w:val="24"/>
          <w:lang w:eastAsia="en-GB"/>
        </w:rPr>
      </w:pPr>
      <w:r w:rsidRPr="00650CDF">
        <w:rPr>
          <w:rFonts w:ascii="Arial" w:hAnsi="Arial" w:cs="Arial"/>
          <w:noProof/>
          <w:sz w:val="24"/>
          <w:szCs w:val="24"/>
          <w:lang w:eastAsia="en-GB"/>
        </w:rPr>
        <w:t>Internal Audit</w:t>
      </w:r>
    </w:p>
    <w:p w:rsidR="00A96F50" w:rsidRPr="00650CDF" w:rsidRDefault="00A96F50" w:rsidP="00650CDF">
      <w:pPr>
        <w:autoSpaceDE w:val="0"/>
        <w:autoSpaceDN w:val="0"/>
        <w:adjustRightInd w:val="0"/>
        <w:spacing w:after="0" w:line="240" w:lineRule="auto"/>
        <w:jc w:val="both"/>
        <w:rPr>
          <w:rFonts w:ascii="Arial" w:hAnsi="Arial" w:cs="Arial"/>
          <w:sz w:val="24"/>
          <w:szCs w:val="24"/>
        </w:rPr>
      </w:pPr>
    </w:p>
    <w:p w:rsidR="00A96F50" w:rsidRPr="00650CDF" w:rsidRDefault="00A96F50" w:rsidP="00650CDF">
      <w:pPr>
        <w:pStyle w:val="ListParagraph"/>
        <w:numPr>
          <w:ilvl w:val="1"/>
          <w:numId w:val="10"/>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lastRenderedPageBreak/>
        <w:t xml:space="preserve">The </w:t>
      </w:r>
      <w:r w:rsidR="002070F2">
        <w:rPr>
          <w:rFonts w:ascii="Arial" w:hAnsi="Arial" w:cs="Arial"/>
          <w:sz w:val="24"/>
          <w:szCs w:val="24"/>
        </w:rPr>
        <w:t xml:space="preserve">Group Audit Subcommittee on behalf of the </w:t>
      </w:r>
      <w:r w:rsidRPr="00650CDF">
        <w:rPr>
          <w:rFonts w:ascii="Arial" w:hAnsi="Arial" w:cs="Arial"/>
          <w:sz w:val="24"/>
          <w:szCs w:val="24"/>
        </w:rPr>
        <w:t xml:space="preserve">Management Committee </w:t>
      </w:r>
      <w:r w:rsidR="002070F2">
        <w:rPr>
          <w:rFonts w:ascii="Arial" w:hAnsi="Arial" w:cs="Arial"/>
          <w:sz w:val="24"/>
          <w:szCs w:val="24"/>
        </w:rPr>
        <w:t xml:space="preserve">and </w:t>
      </w:r>
      <w:r w:rsidRPr="00650CDF">
        <w:rPr>
          <w:rFonts w:ascii="Arial" w:hAnsi="Arial" w:cs="Arial"/>
          <w:sz w:val="24"/>
          <w:szCs w:val="24"/>
        </w:rPr>
        <w:t>subsidiary Board</w:t>
      </w:r>
      <w:r w:rsidR="002070F2">
        <w:rPr>
          <w:rFonts w:ascii="Arial" w:hAnsi="Arial" w:cs="Arial"/>
          <w:sz w:val="24"/>
          <w:szCs w:val="24"/>
        </w:rPr>
        <w:t>, determine and appoint an i</w:t>
      </w:r>
      <w:r w:rsidRPr="00650CDF">
        <w:rPr>
          <w:rFonts w:ascii="Arial" w:hAnsi="Arial" w:cs="Arial"/>
          <w:sz w:val="24"/>
          <w:szCs w:val="24"/>
        </w:rPr>
        <w:t xml:space="preserve">ndependent Internal Auditor. The primary focus of the Internal Auditor will be to review, strengthen and improve the Group’s System of Internal Control and this includes a review of the appropriateness of the Group’s Risk Management and Assurance monitoring and reporting processes. </w:t>
      </w:r>
    </w:p>
    <w:p w:rsidR="00F15841" w:rsidRPr="00650CDF" w:rsidRDefault="00F15841" w:rsidP="00650CDF">
      <w:pPr>
        <w:pStyle w:val="ListParagraph"/>
        <w:autoSpaceDE w:val="0"/>
        <w:autoSpaceDN w:val="0"/>
        <w:adjustRightInd w:val="0"/>
        <w:spacing w:after="0" w:line="240" w:lineRule="auto"/>
        <w:jc w:val="both"/>
        <w:rPr>
          <w:rFonts w:ascii="Arial" w:hAnsi="Arial" w:cs="Arial"/>
          <w:sz w:val="24"/>
          <w:szCs w:val="24"/>
        </w:rPr>
      </w:pPr>
    </w:p>
    <w:p w:rsidR="00F15841" w:rsidRPr="00650CDF" w:rsidRDefault="00F15841" w:rsidP="00650CDF">
      <w:pPr>
        <w:pStyle w:val="ListParagraph"/>
        <w:numPr>
          <w:ilvl w:val="1"/>
          <w:numId w:val="10"/>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The Internal Audit function has a central role in reviewing the governance, risk and control issues within the Group. Specifically in relation to risk management, the internal auditor provides assurance of content and of process to the Management Committee and subsidiary Boards. </w:t>
      </w:r>
    </w:p>
    <w:p w:rsidR="00F15841" w:rsidRPr="00650CDF" w:rsidRDefault="00F15841" w:rsidP="00650CDF">
      <w:pPr>
        <w:pStyle w:val="ListParagraph"/>
        <w:jc w:val="both"/>
        <w:rPr>
          <w:rFonts w:ascii="Arial" w:hAnsi="Arial" w:cs="Arial"/>
          <w:sz w:val="24"/>
          <w:szCs w:val="24"/>
        </w:rPr>
      </w:pPr>
    </w:p>
    <w:p w:rsidR="00F15841" w:rsidRPr="00650CDF" w:rsidRDefault="00F15841" w:rsidP="00650CDF">
      <w:pPr>
        <w:pStyle w:val="ListParagraph"/>
        <w:numPr>
          <w:ilvl w:val="1"/>
          <w:numId w:val="10"/>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The functions and reviews carried out by the Internal Auditor will complement the actions of the Executive and Senior Management Teams and will be used to independently review and test the adequacy and effectiveness of this Policy. The appointment and existence of the Internal Auditor does not reduce or otherwise affect the responsibilities of the Govan Housing Association Management Committee, Govan HOME Team Board or the Executive Management Team. </w:t>
      </w:r>
    </w:p>
    <w:p w:rsidR="00F15841" w:rsidRPr="00650CDF" w:rsidRDefault="00F15841" w:rsidP="00650CDF">
      <w:pPr>
        <w:autoSpaceDE w:val="0"/>
        <w:autoSpaceDN w:val="0"/>
        <w:adjustRightInd w:val="0"/>
        <w:spacing w:after="0" w:line="240" w:lineRule="auto"/>
        <w:jc w:val="both"/>
        <w:rPr>
          <w:rFonts w:ascii="Arial" w:hAnsi="Arial" w:cs="Arial"/>
          <w:sz w:val="24"/>
          <w:szCs w:val="24"/>
        </w:rPr>
      </w:pPr>
    </w:p>
    <w:p w:rsidR="00F15841" w:rsidRPr="00650CDF" w:rsidRDefault="00F1584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6.4</w:t>
      </w:r>
      <w:r w:rsidRPr="00650CDF">
        <w:rPr>
          <w:rFonts w:ascii="Arial" w:hAnsi="Arial" w:cs="Arial"/>
          <w:sz w:val="24"/>
          <w:szCs w:val="24"/>
        </w:rPr>
        <w:tab/>
        <w:t>Internal Audit plays a key role in evaluation of effectiveness of, and recommending improvements to, the risk management process. This is based on the systematic review and evaluation of the policies, procedures and operations in place to:</w:t>
      </w:r>
    </w:p>
    <w:p w:rsidR="00F15841" w:rsidRPr="00650CDF" w:rsidRDefault="00F15841" w:rsidP="00650CDF">
      <w:pPr>
        <w:autoSpaceDE w:val="0"/>
        <w:autoSpaceDN w:val="0"/>
        <w:adjustRightInd w:val="0"/>
        <w:spacing w:after="0" w:line="240" w:lineRule="auto"/>
        <w:jc w:val="both"/>
        <w:rPr>
          <w:rFonts w:ascii="Arial" w:hAnsi="Arial" w:cs="Arial"/>
          <w:sz w:val="24"/>
          <w:szCs w:val="24"/>
        </w:rPr>
      </w:pP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Establish and monitor the achievement of the organisation’s objectives. </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Identify, assess and manage the risks to achieving the organisation’s objectives.</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Advise on, formulate, and evaluate policy.</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Ensure the economical, effective and efficient use of resources.</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Ensure compliance with established policies, procedures, laws and regulations. </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Safeguard the organisation’s assets and interests from losses of all kinds, including fraud, irregularity or corruption.</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Ensure the integrity and reliability of information, accounts and data, including internal and external reporting and accountability processes. </w:t>
      </w:r>
    </w:p>
    <w:p w:rsidR="00F15841" w:rsidRPr="00650CDF" w:rsidRDefault="00F15841" w:rsidP="00650CDF">
      <w:pPr>
        <w:autoSpaceDE w:val="0"/>
        <w:autoSpaceDN w:val="0"/>
        <w:adjustRightInd w:val="0"/>
        <w:spacing w:after="0" w:line="240" w:lineRule="auto"/>
        <w:jc w:val="both"/>
        <w:rPr>
          <w:rFonts w:ascii="Arial" w:hAnsi="Arial" w:cs="Arial"/>
          <w:sz w:val="24"/>
          <w:szCs w:val="24"/>
        </w:rPr>
      </w:pPr>
    </w:p>
    <w:p w:rsidR="00F15841" w:rsidRPr="00650CDF" w:rsidRDefault="00F15841" w:rsidP="00650CDF">
      <w:p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6.5</w:t>
      </w:r>
      <w:r w:rsidRPr="00650CDF">
        <w:rPr>
          <w:rFonts w:ascii="Arial" w:hAnsi="Arial" w:cs="Arial"/>
          <w:sz w:val="24"/>
          <w:szCs w:val="24"/>
        </w:rPr>
        <w:tab/>
        <w:t>In addition, Internal Audit aims to add value through:</w:t>
      </w:r>
    </w:p>
    <w:p w:rsidR="00F15841" w:rsidRPr="00650CDF" w:rsidRDefault="00F15841" w:rsidP="00650CDF">
      <w:pPr>
        <w:autoSpaceDE w:val="0"/>
        <w:autoSpaceDN w:val="0"/>
        <w:adjustRightInd w:val="0"/>
        <w:spacing w:after="0" w:line="240" w:lineRule="auto"/>
        <w:jc w:val="both"/>
        <w:rPr>
          <w:rFonts w:ascii="Arial" w:hAnsi="Arial" w:cs="Arial"/>
          <w:sz w:val="24"/>
          <w:szCs w:val="24"/>
        </w:rPr>
      </w:pP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Supporting and facilitating the identification of risks and the development of processes and procedures to assess and effectively respond to risks. </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The identification and recommendation of potential process improvements. </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The provision of advice to manage risks in developing systems, processes, projects and procedures.</w:t>
      </w:r>
    </w:p>
    <w:p w:rsidR="00F15841" w:rsidRPr="00650CDF" w:rsidRDefault="00F1584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The provision of best practice advice to all areas of the business, and encouraging best practice and encouraging continuous improvement.</w:t>
      </w:r>
    </w:p>
    <w:p w:rsidR="00F15841" w:rsidRPr="00650CDF" w:rsidRDefault="00F15841" w:rsidP="00650CDF">
      <w:pPr>
        <w:autoSpaceDE w:val="0"/>
        <w:autoSpaceDN w:val="0"/>
        <w:adjustRightInd w:val="0"/>
        <w:spacing w:after="0" w:line="240" w:lineRule="auto"/>
        <w:jc w:val="both"/>
        <w:rPr>
          <w:rFonts w:ascii="Arial" w:hAnsi="Arial" w:cs="Arial"/>
          <w:sz w:val="24"/>
          <w:szCs w:val="24"/>
        </w:rPr>
      </w:pPr>
    </w:p>
    <w:p w:rsidR="00F15841" w:rsidRPr="00650CDF" w:rsidRDefault="00F1584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6.</w:t>
      </w:r>
      <w:r w:rsidR="00650CDF">
        <w:rPr>
          <w:rFonts w:ascii="Arial" w:hAnsi="Arial" w:cs="Arial"/>
          <w:sz w:val="24"/>
          <w:szCs w:val="24"/>
        </w:rPr>
        <w:t>7</w:t>
      </w:r>
      <w:r w:rsidRPr="00650CDF">
        <w:rPr>
          <w:rFonts w:ascii="Arial" w:hAnsi="Arial" w:cs="Arial"/>
          <w:sz w:val="24"/>
          <w:szCs w:val="24"/>
        </w:rPr>
        <w:tab/>
        <w:t xml:space="preserve">The Internal Auditor will plan, prioritise and report to the </w:t>
      </w:r>
      <w:r w:rsidR="002070F2">
        <w:rPr>
          <w:rFonts w:ascii="Arial" w:hAnsi="Arial" w:cs="Arial"/>
          <w:sz w:val="24"/>
          <w:szCs w:val="24"/>
        </w:rPr>
        <w:t xml:space="preserve">Group </w:t>
      </w:r>
      <w:r w:rsidRPr="00650CDF">
        <w:rPr>
          <w:rFonts w:ascii="Arial" w:hAnsi="Arial" w:cs="Arial"/>
          <w:sz w:val="24"/>
          <w:szCs w:val="24"/>
        </w:rPr>
        <w:t>Audit Sub-Committee</w:t>
      </w:r>
      <w:r w:rsidR="002070F2">
        <w:rPr>
          <w:rFonts w:ascii="Arial" w:hAnsi="Arial" w:cs="Arial"/>
          <w:sz w:val="24"/>
          <w:szCs w:val="24"/>
        </w:rPr>
        <w:t xml:space="preserve"> </w:t>
      </w:r>
      <w:r w:rsidRPr="00650CDF">
        <w:rPr>
          <w:rFonts w:ascii="Arial" w:hAnsi="Arial" w:cs="Arial"/>
          <w:sz w:val="24"/>
          <w:szCs w:val="24"/>
        </w:rPr>
        <w:t xml:space="preserve">and discuss and clarify any disclosure, issues or concerns. </w:t>
      </w:r>
    </w:p>
    <w:p w:rsidR="00A96F50" w:rsidRPr="00650CDF" w:rsidRDefault="00A96F50" w:rsidP="00650CDF">
      <w:pPr>
        <w:jc w:val="both"/>
        <w:rPr>
          <w:rFonts w:ascii="Arial" w:hAnsi="Arial" w:cs="Arial"/>
          <w:sz w:val="24"/>
          <w:szCs w:val="24"/>
          <w:lang w:eastAsia="en-GB"/>
        </w:rPr>
      </w:pPr>
    </w:p>
    <w:p w:rsidR="00F15841" w:rsidRPr="00650CDF" w:rsidRDefault="00F15841" w:rsidP="00650CDF">
      <w:pPr>
        <w:pStyle w:val="Heading2"/>
        <w:numPr>
          <w:ilvl w:val="0"/>
          <w:numId w:val="5"/>
        </w:numPr>
        <w:spacing w:before="0"/>
        <w:jc w:val="both"/>
        <w:rPr>
          <w:rFonts w:ascii="Arial" w:hAnsi="Arial" w:cs="Arial"/>
          <w:noProof/>
          <w:sz w:val="24"/>
          <w:szCs w:val="24"/>
          <w:lang w:eastAsia="en-GB"/>
        </w:rPr>
      </w:pPr>
      <w:r w:rsidRPr="00650CDF">
        <w:rPr>
          <w:rFonts w:ascii="Arial" w:hAnsi="Arial" w:cs="Arial"/>
          <w:noProof/>
          <w:sz w:val="24"/>
          <w:szCs w:val="24"/>
          <w:lang w:eastAsia="en-GB"/>
        </w:rPr>
        <w:t>Implementation</w:t>
      </w:r>
    </w:p>
    <w:p w:rsidR="00A96F50" w:rsidRPr="00650CDF" w:rsidRDefault="00A96F50" w:rsidP="00650CDF">
      <w:pPr>
        <w:autoSpaceDE w:val="0"/>
        <w:autoSpaceDN w:val="0"/>
        <w:adjustRightInd w:val="0"/>
        <w:spacing w:after="0" w:line="240" w:lineRule="auto"/>
        <w:ind w:left="720" w:hanging="720"/>
        <w:jc w:val="both"/>
        <w:rPr>
          <w:rFonts w:ascii="Arial" w:hAnsi="Arial" w:cs="Arial"/>
          <w:sz w:val="24"/>
          <w:szCs w:val="24"/>
        </w:rPr>
      </w:pPr>
    </w:p>
    <w:p w:rsidR="000626C1" w:rsidRPr="00650CDF" w:rsidRDefault="00F15841" w:rsidP="00650CDF">
      <w:pPr>
        <w:autoSpaceDE w:val="0"/>
        <w:autoSpaceDN w:val="0"/>
        <w:adjustRightInd w:val="0"/>
        <w:spacing w:after="0" w:line="240" w:lineRule="auto"/>
        <w:jc w:val="both"/>
        <w:rPr>
          <w:rFonts w:ascii="Arial" w:hAnsi="Arial" w:cs="Arial"/>
          <w:b/>
          <w:sz w:val="24"/>
          <w:szCs w:val="24"/>
        </w:rPr>
      </w:pPr>
      <w:r w:rsidRPr="00650CDF">
        <w:rPr>
          <w:rFonts w:ascii="Arial" w:hAnsi="Arial" w:cs="Arial"/>
          <w:sz w:val="24"/>
          <w:szCs w:val="24"/>
        </w:rPr>
        <w:t>7.1</w:t>
      </w:r>
      <w:r w:rsidRPr="00650CDF">
        <w:rPr>
          <w:rFonts w:ascii="Arial" w:hAnsi="Arial" w:cs="Arial"/>
          <w:b/>
          <w:sz w:val="24"/>
          <w:szCs w:val="24"/>
        </w:rPr>
        <w:tab/>
        <w:t>Govan Housing Association Board (Management Committee)</w:t>
      </w:r>
    </w:p>
    <w:p w:rsidR="000626C1" w:rsidRPr="00650CDF" w:rsidRDefault="000626C1" w:rsidP="00650CDF">
      <w:pPr>
        <w:autoSpaceDE w:val="0"/>
        <w:autoSpaceDN w:val="0"/>
        <w:adjustRightInd w:val="0"/>
        <w:spacing w:after="0" w:line="240" w:lineRule="auto"/>
        <w:jc w:val="both"/>
        <w:rPr>
          <w:rFonts w:ascii="Arial" w:hAnsi="Arial" w:cs="Arial"/>
          <w:b/>
          <w:sz w:val="24"/>
          <w:szCs w:val="24"/>
        </w:rPr>
      </w:pPr>
    </w:p>
    <w:p w:rsidR="000626C1" w:rsidRPr="00650CDF" w:rsidRDefault="000626C1" w:rsidP="00650CDF">
      <w:pPr>
        <w:autoSpaceDE w:val="0"/>
        <w:autoSpaceDN w:val="0"/>
        <w:adjustRightInd w:val="0"/>
        <w:spacing w:after="0" w:line="240" w:lineRule="auto"/>
        <w:ind w:left="720"/>
        <w:jc w:val="both"/>
        <w:rPr>
          <w:rFonts w:ascii="Arial" w:hAnsi="Arial" w:cs="Arial"/>
          <w:sz w:val="24"/>
          <w:szCs w:val="24"/>
        </w:rPr>
      </w:pPr>
      <w:r w:rsidRPr="00650CDF">
        <w:rPr>
          <w:rFonts w:ascii="Arial" w:hAnsi="Arial" w:cs="Arial"/>
          <w:sz w:val="24"/>
          <w:szCs w:val="24"/>
        </w:rPr>
        <w:t>The Management Committee</w:t>
      </w:r>
      <w:r w:rsidR="00723D4D" w:rsidRPr="00650CDF">
        <w:rPr>
          <w:rFonts w:ascii="Arial" w:hAnsi="Arial" w:cs="Arial"/>
          <w:sz w:val="24"/>
          <w:szCs w:val="24"/>
        </w:rPr>
        <w:t xml:space="preserve"> </w:t>
      </w:r>
      <w:r w:rsidR="00F15841" w:rsidRPr="00650CDF">
        <w:rPr>
          <w:rFonts w:ascii="Arial" w:hAnsi="Arial" w:cs="Arial"/>
          <w:sz w:val="24"/>
          <w:szCs w:val="24"/>
        </w:rPr>
        <w:t>of Govan Housing Association</w:t>
      </w:r>
      <w:r w:rsidR="00723D4D" w:rsidRPr="00650CDF">
        <w:rPr>
          <w:rFonts w:ascii="Arial" w:hAnsi="Arial" w:cs="Arial"/>
          <w:sz w:val="24"/>
          <w:szCs w:val="24"/>
        </w:rPr>
        <w:t xml:space="preserve"> </w:t>
      </w:r>
      <w:r w:rsidR="00F15841" w:rsidRPr="00650CDF">
        <w:rPr>
          <w:rFonts w:ascii="Arial" w:hAnsi="Arial" w:cs="Arial"/>
          <w:sz w:val="24"/>
          <w:szCs w:val="24"/>
        </w:rPr>
        <w:t>has ultimate responsibility and accountability for the management of risk. The Govan Housing Association Management Committee determines the group ‘appetite for risk’ in conjunction with the Executive Management Team and Senior Management Team. The role can be further explained as follows:</w:t>
      </w:r>
    </w:p>
    <w:p w:rsidR="000626C1" w:rsidRPr="00650CDF" w:rsidRDefault="000626C1" w:rsidP="00650CDF">
      <w:pPr>
        <w:autoSpaceDE w:val="0"/>
        <w:autoSpaceDN w:val="0"/>
        <w:adjustRightInd w:val="0"/>
        <w:spacing w:after="0" w:line="240" w:lineRule="auto"/>
        <w:jc w:val="both"/>
        <w:rPr>
          <w:rFonts w:ascii="Arial" w:hAnsi="Arial" w:cs="Arial"/>
          <w:sz w:val="24"/>
          <w:szCs w:val="24"/>
        </w:rPr>
      </w:pP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Agreeing the risk management framework within the </w:t>
      </w:r>
      <w:r w:rsidR="00F15841" w:rsidRPr="00650CDF">
        <w:rPr>
          <w:rFonts w:ascii="Arial" w:hAnsi="Arial" w:cs="Arial"/>
          <w:sz w:val="24"/>
          <w:szCs w:val="24"/>
        </w:rPr>
        <w:t>Group</w:t>
      </w:r>
      <w:r w:rsidRPr="00650CDF">
        <w:rPr>
          <w:rFonts w:ascii="Arial" w:hAnsi="Arial" w:cs="Arial"/>
          <w:sz w:val="24"/>
          <w:szCs w:val="24"/>
        </w:rPr>
        <w:t>.</w:t>
      </w: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Setting the risk appetite for the </w:t>
      </w:r>
      <w:r w:rsidR="00F15841" w:rsidRPr="00650CDF">
        <w:rPr>
          <w:rFonts w:ascii="Arial" w:hAnsi="Arial" w:cs="Arial"/>
          <w:sz w:val="24"/>
          <w:szCs w:val="24"/>
        </w:rPr>
        <w:t>Group</w:t>
      </w:r>
      <w:r w:rsidRPr="00650CDF">
        <w:rPr>
          <w:rFonts w:ascii="Arial" w:hAnsi="Arial" w:cs="Arial"/>
          <w:sz w:val="24"/>
          <w:szCs w:val="24"/>
        </w:rPr>
        <w:t>.</w:t>
      </w: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Directing the risk strategy.</w:t>
      </w: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Receiving reports and demanding action where appropriate.</w:t>
      </w: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Reviewing assurance providing mechanisms to ensure that actions to mitigate risks are operating effectively.</w:t>
      </w: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Annual review of the </w:t>
      </w:r>
      <w:r w:rsidR="00F15841" w:rsidRPr="00650CDF">
        <w:rPr>
          <w:rFonts w:ascii="Arial" w:hAnsi="Arial" w:cs="Arial"/>
          <w:sz w:val="24"/>
          <w:szCs w:val="24"/>
        </w:rPr>
        <w:t>Group</w:t>
      </w:r>
      <w:r w:rsidRPr="00650CDF">
        <w:rPr>
          <w:rFonts w:ascii="Arial" w:hAnsi="Arial" w:cs="Arial"/>
          <w:sz w:val="24"/>
          <w:szCs w:val="24"/>
        </w:rPr>
        <w:t xml:space="preserve">’s approach to risk management, approving any proposed changes to the core aspects of the strategy and associated procedures. </w:t>
      </w:r>
    </w:p>
    <w:p w:rsidR="00F15841" w:rsidRPr="00650CDF" w:rsidRDefault="00F15841" w:rsidP="00650CDF">
      <w:pPr>
        <w:autoSpaceDE w:val="0"/>
        <w:autoSpaceDN w:val="0"/>
        <w:adjustRightInd w:val="0"/>
        <w:spacing w:after="0" w:line="240" w:lineRule="auto"/>
        <w:jc w:val="both"/>
        <w:rPr>
          <w:rFonts w:ascii="Arial" w:hAnsi="Arial" w:cs="Arial"/>
          <w:sz w:val="24"/>
          <w:szCs w:val="24"/>
        </w:rPr>
      </w:pPr>
    </w:p>
    <w:p w:rsidR="00F15841" w:rsidRPr="00650CDF" w:rsidRDefault="00F1584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7.2</w:t>
      </w:r>
      <w:r w:rsidRPr="00650CDF">
        <w:rPr>
          <w:rFonts w:ascii="Arial" w:hAnsi="Arial" w:cs="Arial"/>
          <w:sz w:val="24"/>
          <w:szCs w:val="24"/>
        </w:rPr>
        <w:tab/>
        <w:t>The Govan Housing Association Board approves operational responsibility for risk management as follows:</w:t>
      </w:r>
    </w:p>
    <w:p w:rsidR="00F15841" w:rsidRPr="00650CDF" w:rsidRDefault="00F15841" w:rsidP="00650CDF">
      <w:pPr>
        <w:autoSpaceDE w:val="0"/>
        <w:autoSpaceDN w:val="0"/>
        <w:adjustRightInd w:val="0"/>
        <w:spacing w:after="0" w:line="240" w:lineRule="auto"/>
        <w:ind w:left="720" w:hanging="720"/>
        <w:jc w:val="both"/>
        <w:rPr>
          <w:rFonts w:ascii="Arial" w:hAnsi="Arial" w:cs="Arial"/>
          <w:sz w:val="24"/>
          <w:szCs w:val="24"/>
        </w:rPr>
      </w:pPr>
    </w:p>
    <w:p w:rsidR="00F15841" w:rsidRPr="00650CDF" w:rsidRDefault="00F15841" w:rsidP="00650CDF">
      <w:pPr>
        <w:autoSpaceDE w:val="0"/>
        <w:autoSpaceDN w:val="0"/>
        <w:adjustRightInd w:val="0"/>
        <w:spacing w:after="0" w:line="240" w:lineRule="auto"/>
        <w:ind w:left="720" w:hanging="720"/>
        <w:jc w:val="both"/>
        <w:rPr>
          <w:rFonts w:ascii="Arial" w:hAnsi="Arial" w:cs="Arial"/>
          <w:b/>
          <w:sz w:val="24"/>
          <w:szCs w:val="24"/>
        </w:rPr>
      </w:pPr>
      <w:r w:rsidRPr="00650CDF">
        <w:rPr>
          <w:rFonts w:ascii="Arial" w:hAnsi="Arial" w:cs="Arial"/>
          <w:sz w:val="24"/>
          <w:szCs w:val="24"/>
        </w:rPr>
        <w:tab/>
      </w:r>
      <w:r w:rsidRPr="00650CDF">
        <w:rPr>
          <w:rFonts w:ascii="Arial" w:hAnsi="Arial" w:cs="Arial"/>
          <w:b/>
          <w:sz w:val="24"/>
          <w:szCs w:val="24"/>
        </w:rPr>
        <w:t>Audit Sub-Committee</w:t>
      </w:r>
    </w:p>
    <w:p w:rsidR="00F15841" w:rsidRPr="00650CDF" w:rsidRDefault="00F15841" w:rsidP="00650CDF">
      <w:pPr>
        <w:autoSpaceDE w:val="0"/>
        <w:autoSpaceDN w:val="0"/>
        <w:adjustRightInd w:val="0"/>
        <w:spacing w:after="0" w:line="240" w:lineRule="auto"/>
        <w:ind w:left="720" w:hanging="720"/>
        <w:jc w:val="both"/>
        <w:rPr>
          <w:rFonts w:ascii="Arial" w:hAnsi="Arial" w:cs="Arial"/>
          <w:b/>
          <w:sz w:val="24"/>
          <w:szCs w:val="24"/>
        </w:rPr>
      </w:pPr>
    </w:p>
    <w:p w:rsidR="00F15841" w:rsidRPr="00650CDF" w:rsidRDefault="00F1584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b/>
          <w:sz w:val="24"/>
          <w:szCs w:val="24"/>
        </w:rPr>
        <w:tab/>
      </w:r>
      <w:r w:rsidRPr="00650CDF">
        <w:rPr>
          <w:rFonts w:ascii="Arial" w:hAnsi="Arial" w:cs="Arial"/>
          <w:sz w:val="24"/>
          <w:szCs w:val="24"/>
        </w:rPr>
        <w:t>The Audit Sub-Committee has responsibility for the design of risk management and assurance reporting processes and for ensuring effective systems for risk management are in place in conjunction with the Executive Management Team and Senior Management Team across the Group structure.</w:t>
      </w:r>
    </w:p>
    <w:p w:rsidR="004428A8" w:rsidRDefault="004428A8" w:rsidP="00650CDF">
      <w:pPr>
        <w:autoSpaceDE w:val="0"/>
        <w:autoSpaceDN w:val="0"/>
        <w:adjustRightInd w:val="0"/>
        <w:spacing w:after="0" w:line="240" w:lineRule="auto"/>
        <w:ind w:left="720" w:hanging="720"/>
        <w:jc w:val="both"/>
        <w:rPr>
          <w:rFonts w:ascii="Arial" w:hAnsi="Arial" w:cs="Arial"/>
          <w:sz w:val="24"/>
          <w:szCs w:val="24"/>
        </w:rPr>
      </w:pPr>
    </w:p>
    <w:p w:rsidR="004428A8" w:rsidRPr="00650CDF" w:rsidRDefault="004428A8" w:rsidP="00650CDF">
      <w:pPr>
        <w:autoSpaceDE w:val="0"/>
        <w:autoSpaceDN w:val="0"/>
        <w:adjustRightInd w:val="0"/>
        <w:spacing w:after="0" w:line="240" w:lineRule="auto"/>
        <w:ind w:left="720" w:hanging="720"/>
        <w:jc w:val="both"/>
        <w:rPr>
          <w:rFonts w:ascii="Arial" w:hAnsi="Arial" w:cs="Arial"/>
          <w:b/>
          <w:sz w:val="24"/>
          <w:szCs w:val="24"/>
        </w:rPr>
      </w:pPr>
      <w:r w:rsidRPr="00650CDF">
        <w:rPr>
          <w:rFonts w:ascii="Arial" w:hAnsi="Arial" w:cs="Arial"/>
          <w:sz w:val="24"/>
          <w:szCs w:val="24"/>
        </w:rPr>
        <w:tab/>
      </w:r>
      <w:r w:rsidRPr="00650CDF">
        <w:rPr>
          <w:rFonts w:ascii="Arial" w:hAnsi="Arial" w:cs="Arial"/>
          <w:b/>
          <w:sz w:val="24"/>
          <w:szCs w:val="24"/>
        </w:rPr>
        <w:t>Internal Audit</w:t>
      </w:r>
    </w:p>
    <w:p w:rsidR="004428A8" w:rsidRPr="00650CDF" w:rsidRDefault="004428A8" w:rsidP="00650CDF">
      <w:pPr>
        <w:autoSpaceDE w:val="0"/>
        <w:autoSpaceDN w:val="0"/>
        <w:adjustRightInd w:val="0"/>
        <w:spacing w:after="0" w:line="240" w:lineRule="auto"/>
        <w:ind w:left="720" w:hanging="720"/>
        <w:jc w:val="both"/>
        <w:rPr>
          <w:rFonts w:ascii="Arial" w:hAnsi="Arial" w:cs="Arial"/>
          <w:b/>
          <w:sz w:val="24"/>
          <w:szCs w:val="24"/>
        </w:rPr>
      </w:pPr>
    </w:p>
    <w:p w:rsidR="004428A8" w:rsidRPr="00650CDF" w:rsidRDefault="004428A8"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b/>
          <w:sz w:val="24"/>
          <w:szCs w:val="24"/>
        </w:rPr>
        <w:tab/>
      </w:r>
      <w:r w:rsidRPr="00650CDF">
        <w:rPr>
          <w:rFonts w:ascii="Arial" w:hAnsi="Arial" w:cs="Arial"/>
          <w:sz w:val="24"/>
          <w:szCs w:val="24"/>
        </w:rPr>
        <w:t>The Group will appoint an Internal Auditor to review, strengthen and improve the internal systems of risk control and provide an independent assessment of the adequacy of this Policy. An annual report will be produced by the Internal Auditor which will provide an opinion on the Group’s Risk Management and Internal Control systems.</w:t>
      </w:r>
    </w:p>
    <w:p w:rsidR="00650CDF" w:rsidRDefault="00650CDF" w:rsidP="00650CDF">
      <w:pPr>
        <w:autoSpaceDE w:val="0"/>
        <w:autoSpaceDN w:val="0"/>
        <w:adjustRightInd w:val="0"/>
        <w:spacing w:after="0" w:line="240" w:lineRule="auto"/>
        <w:ind w:firstLine="720"/>
        <w:jc w:val="both"/>
        <w:rPr>
          <w:rFonts w:ascii="Arial" w:hAnsi="Arial" w:cs="Arial"/>
          <w:b/>
          <w:sz w:val="24"/>
          <w:szCs w:val="24"/>
        </w:rPr>
      </w:pPr>
    </w:p>
    <w:p w:rsidR="000626C1" w:rsidRPr="00650CDF" w:rsidRDefault="000626C1" w:rsidP="00650CDF">
      <w:pPr>
        <w:autoSpaceDE w:val="0"/>
        <w:autoSpaceDN w:val="0"/>
        <w:adjustRightInd w:val="0"/>
        <w:spacing w:after="0" w:line="240" w:lineRule="auto"/>
        <w:ind w:firstLine="720"/>
        <w:jc w:val="both"/>
        <w:rPr>
          <w:rFonts w:ascii="Arial" w:hAnsi="Arial" w:cs="Arial"/>
          <w:b/>
          <w:sz w:val="24"/>
          <w:szCs w:val="24"/>
        </w:rPr>
      </w:pPr>
      <w:r w:rsidRPr="00650CDF">
        <w:rPr>
          <w:rFonts w:ascii="Arial" w:hAnsi="Arial" w:cs="Arial"/>
          <w:b/>
          <w:sz w:val="24"/>
          <w:szCs w:val="24"/>
        </w:rPr>
        <w:t>Executive Management Team</w:t>
      </w:r>
    </w:p>
    <w:p w:rsidR="000626C1" w:rsidRPr="00650CDF" w:rsidRDefault="000626C1" w:rsidP="00650CDF">
      <w:pPr>
        <w:autoSpaceDE w:val="0"/>
        <w:autoSpaceDN w:val="0"/>
        <w:adjustRightInd w:val="0"/>
        <w:spacing w:after="0" w:line="240" w:lineRule="auto"/>
        <w:jc w:val="both"/>
        <w:rPr>
          <w:rFonts w:ascii="Arial" w:hAnsi="Arial" w:cs="Arial"/>
          <w:b/>
          <w:sz w:val="24"/>
          <w:szCs w:val="24"/>
        </w:rPr>
      </w:pPr>
    </w:p>
    <w:p w:rsidR="000626C1" w:rsidRPr="00650CDF" w:rsidRDefault="000626C1" w:rsidP="00650CDF">
      <w:pPr>
        <w:autoSpaceDE w:val="0"/>
        <w:autoSpaceDN w:val="0"/>
        <w:adjustRightInd w:val="0"/>
        <w:spacing w:after="0" w:line="240" w:lineRule="auto"/>
        <w:ind w:left="720"/>
        <w:jc w:val="both"/>
        <w:rPr>
          <w:rFonts w:ascii="Arial" w:hAnsi="Arial" w:cs="Arial"/>
          <w:sz w:val="24"/>
          <w:szCs w:val="24"/>
        </w:rPr>
      </w:pPr>
      <w:r w:rsidRPr="00650CDF">
        <w:rPr>
          <w:rFonts w:ascii="Arial" w:hAnsi="Arial" w:cs="Arial"/>
          <w:sz w:val="24"/>
          <w:szCs w:val="24"/>
        </w:rPr>
        <w:lastRenderedPageBreak/>
        <w:t>The Executive Management team is led by the Chief Executive and has responsibility for:</w:t>
      </w:r>
    </w:p>
    <w:p w:rsidR="000626C1" w:rsidRPr="00650CDF" w:rsidRDefault="000626C1" w:rsidP="00650CDF">
      <w:pPr>
        <w:autoSpaceDE w:val="0"/>
        <w:autoSpaceDN w:val="0"/>
        <w:adjustRightInd w:val="0"/>
        <w:spacing w:after="0" w:line="240" w:lineRule="auto"/>
        <w:jc w:val="both"/>
        <w:rPr>
          <w:rFonts w:ascii="Arial" w:hAnsi="Arial" w:cs="Arial"/>
          <w:sz w:val="24"/>
          <w:szCs w:val="24"/>
        </w:rPr>
      </w:pP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Implementing policies on risk management and internal control.</w:t>
      </w: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Identifying and evaluating the key inherent risks faced by the </w:t>
      </w:r>
      <w:r w:rsidR="002070F2">
        <w:rPr>
          <w:rFonts w:ascii="Arial" w:hAnsi="Arial" w:cs="Arial"/>
          <w:sz w:val="24"/>
          <w:szCs w:val="24"/>
        </w:rPr>
        <w:t>Group</w:t>
      </w:r>
      <w:r w:rsidRPr="00650CDF">
        <w:rPr>
          <w:rFonts w:ascii="Arial" w:hAnsi="Arial" w:cs="Arial"/>
          <w:sz w:val="24"/>
          <w:szCs w:val="24"/>
        </w:rPr>
        <w:t xml:space="preserve">. These risks will be set out in a “risk register” (see Appendix 2). </w:t>
      </w: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Providing adequate, timely information to Management Committee and its sub committees on the status of risk and controls and providing assurance that risks are being effectively mitigated.</w:t>
      </w:r>
    </w:p>
    <w:p w:rsidR="000626C1" w:rsidRPr="00650CDF" w:rsidRDefault="000626C1" w:rsidP="00650CDF">
      <w:pPr>
        <w:pStyle w:val="ListParagraph"/>
        <w:numPr>
          <w:ilvl w:val="0"/>
          <w:numId w:val="3"/>
        </w:numPr>
        <w:autoSpaceDE w:val="0"/>
        <w:autoSpaceDN w:val="0"/>
        <w:adjustRightInd w:val="0"/>
        <w:spacing w:after="0" w:line="240" w:lineRule="auto"/>
        <w:jc w:val="both"/>
        <w:rPr>
          <w:rFonts w:ascii="Arial" w:hAnsi="Arial" w:cs="Arial"/>
          <w:sz w:val="24"/>
          <w:szCs w:val="24"/>
        </w:rPr>
      </w:pPr>
      <w:r w:rsidRPr="00650CDF">
        <w:rPr>
          <w:rFonts w:ascii="Arial" w:hAnsi="Arial" w:cs="Arial"/>
          <w:sz w:val="24"/>
          <w:szCs w:val="24"/>
        </w:rPr>
        <w:t xml:space="preserve">Undertaking an annual review of the effectiveness of the system of internal control and providing a report to Management Committee. </w:t>
      </w:r>
    </w:p>
    <w:p w:rsidR="000626C1" w:rsidRPr="00650CDF" w:rsidRDefault="000626C1" w:rsidP="00650CDF">
      <w:pPr>
        <w:autoSpaceDE w:val="0"/>
        <w:autoSpaceDN w:val="0"/>
        <w:adjustRightInd w:val="0"/>
        <w:spacing w:after="0" w:line="240" w:lineRule="auto"/>
        <w:jc w:val="both"/>
        <w:rPr>
          <w:rFonts w:ascii="Arial" w:hAnsi="Arial" w:cs="Arial"/>
          <w:sz w:val="24"/>
          <w:szCs w:val="24"/>
        </w:rPr>
      </w:pPr>
    </w:p>
    <w:p w:rsidR="00DD0D07" w:rsidRDefault="000626C1" w:rsidP="00DD0D07">
      <w:pPr>
        <w:autoSpaceDE w:val="0"/>
        <w:autoSpaceDN w:val="0"/>
        <w:adjustRightInd w:val="0"/>
        <w:spacing w:after="0" w:line="240" w:lineRule="auto"/>
        <w:ind w:left="720"/>
        <w:jc w:val="both"/>
        <w:rPr>
          <w:rFonts w:ascii="Arial" w:hAnsi="Arial" w:cs="Arial"/>
          <w:sz w:val="24"/>
          <w:szCs w:val="24"/>
        </w:rPr>
      </w:pPr>
      <w:r w:rsidRPr="00650CDF">
        <w:rPr>
          <w:rFonts w:ascii="Arial" w:hAnsi="Arial" w:cs="Arial"/>
          <w:sz w:val="24"/>
          <w:szCs w:val="24"/>
        </w:rPr>
        <w:t>The Executive Management Team has two main roles in relation to the ri</w:t>
      </w:r>
      <w:r w:rsidR="00DD0D07">
        <w:rPr>
          <w:rFonts w:ascii="Arial" w:hAnsi="Arial" w:cs="Arial"/>
          <w:sz w:val="24"/>
          <w:szCs w:val="24"/>
        </w:rPr>
        <w:t>sk management process, notably:</w:t>
      </w:r>
      <w:r w:rsidR="00DD0D07" w:rsidRPr="00650CDF">
        <w:rPr>
          <w:rFonts w:ascii="Arial" w:hAnsi="Arial" w:cs="Arial"/>
          <w:sz w:val="24"/>
          <w:szCs w:val="24"/>
        </w:rPr>
        <w:t xml:space="preserve"> responsib</w:t>
      </w:r>
      <w:r w:rsidR="00DD0D07">
        <w:rPr>
          <w:rFonts w:ascii="Arial" w:hAnsi="Arial" w:cs="Arial"/>
          <w:sz w:val="24"/>
          <w:szCs w:val="24"/>
        </w:rPr>
        <w:t>ility</w:t>
      </w:r>
      <w:r w:rsidR="00DD0D07" w:rsidRPr="00650CDF">
        <w:rPr>
          <w:rFonts w:ascii="Arial" w:hAnsi="Arial" w:cs="Arial"/>
          <w:sz w:val="24"/>
          <w:szCs w:val="24"/>
        </w:rPr>
        <w:t xml:space="preserve"> for the co-ordination of the risk management review and liaison with the stakeholders on the transfer of risks to insurers, where appropriate.</w:t>
      </w:r>
    </w:p>
    <w:p w:rsidR="00DD0D07" w:rsidRDefault="00DD0D07" w:rsidP="00650CDF">
      <w:pPr>
        <w:autoSpaceDE w:val="0"/>
        <w:autoSpaceDN w:val="0"/>
        <w:adjustRightInd w:val="0"/>
        <w:spacing w:after="0" w:line="240" w:lineRule="auto"/>
        <w:jc w:val="both"/>
        <w:rPr>
          <w:rFonts w:ascii="Arial" w:hAnsi="Arial" w:cs="Arial"/>
          <w:sz w:val="24"/>
          <w:szCs w:val="24"/>
        </w:rPr>
      </w:pPr>
    </w:p>
    <w:p w:rsidR="000626C1" w:rsidRPr="00650CDF" w:rsidRDefault="00F15841"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7.3</w:t>
      </w:r>
      <w:r w:rsidR="000626C1" w:rsidRPr="00650CDF">
        <w:rPr>
          <w:rFonts w:ascii="Arial" w:hAnsi="Arial" w:cs="Arial"/>
          <w:sz w:val="24"/>
          <w:szCs w:val="24"/>
        </w:rPr>
        <w:tab/>
        <w:t xml:space="preserve">The Management Committee shall satisfy itself that the risk management process is effective, taking advice from the Executive Management Team and internal auditor. Advice shall also be obtained from the external auditor as part of the review of governance in the annual audit. The Director of Finance/ICT shall submit a brief report to Management Committee each year, outlining its work in this area and the conclusions reached. </w:t>
      </w:r>
    </w:p>
    <w:p w:rsidR="000626C1" w:rsidRPr="00650CDF" w:rsidRDefault="000626C1" w:rsidP="00650CDF">
      <w:pPr>
        <w:autoSpaceDE w:val="0"/>
        <w:autoSpaceDN w:val="0"/>
        <w:adjustRightInd w:val="0"/>
        <w:spacing w:after="0" w:line="240" w:lineRule="auto"/>
        <w:jc w:val="both"/>
        <w:rPr>
          <w:rFonts w:ascii="Arial" w:hAnsi="Arial" w:cs="Arial"/>
          <w:b/>
          <w:sz w:val="24"/>
          <w:szCs w:val="24"/>
        </w:rPr>
      </w:pPr>
    </w:p>
    <w:p w:rsidR="000626C1" w:rsidRPr="00650CDF" w:rsidRDefault="004428A8" w:rsidP="00650CDF">
      <w:pPr>
        <w:autoSpaceDE w:val="0"/>
        <w:autoSpaceDN w:val="0"/>
        <w:adjustRightInd w:val="0"/>
        <w:spacing w:after="0" w:line="240" w:lineRule="auto"/>
        <w:ind w:left="720" w:hanging="720"/>
        <w:jc w:val="both"/>
        <w:rPr>
          <w:rFonts w:ascii="Arial" w:hAnsi="Arial" w:cs="Arial"/>
          <w:sz w:val="24"/>
          <w:szCs w:val="24"/>
        </w:rPr>
      </w:pPr>
      <w:r w:rsidRPr="00650CDF">
        <w:rPr>
          <w:rFonts w:ascii="Arial" w:hAnsi="Arial" w:cs="Arial"/>
          <w:sz w:val="24"/>
          <w:szCs w:val="24"/>
        </w:rPr>
        <w:t>7.4</w:t>
      </w:r>
      <w:r w:rsidRPr="00650CDF">
        <w:rPr>
          <w:rFonts w:ascii="Arial" w:hAnsi="Arial" w:cs="Arial"/>
          <w:sz w:val="24"/>
          <w:szCs w:val="24"/>
        </w:rPr>
        <w:tab/>
        <w:t>It is noteworthy, that all employees within the Group have a collective responsibility for the proactive management of risk and to alert the Executive Management and Senior Management Team of any risks they believe are uncontrolled or any negative impacts of risk activity that is permitted within the Group’s risk thresholds. This responsibility is embedded and communicated to all new employees as part of the Group’s induction programme.</w:t>
      </w:r>
    </w:p>
    <w:p w:rsidR="00152AAA" w:rsidRDefault="00152AAA" w:rsidP="00650CDF">
      <w:pPr>
        <w:autoSpaceDE w:val="0"/>
        <w:autoSpaceDN w:val="0"/>
        <w:adjustRightInd w:val="0"/>
        <w:spacing w:after="0" w:line="240" w:lineRule="auto"/>
        <w:jc w:val="both"/>
        <w:rPr>
          <w:rFonts w:ascii="Arial" w:hAnsi="Arial" w:cs="Arial"/>
          <w:sz w:val="24"/>
          <w:szCs w:val="24"/>
        </w:rPr>
      </w:pPr>
    </w:p>
    <w:p w:rsidR="0052788A" w:rsidRDefault="0052788A" w:rsidP="00650CDF">
      <w:pPr>
        <w:autoSpaceDE w:val="0"/>
        <w:autoSpaceDN w:val="0"/>
        <w:adjustRightInd w:val="0"/>
        <w:spacing w:after="0" w:line="240" w:lineRule="auto"/>
        <w:jc w:val="both"/>
        <w:rPr>
          <w:rFonts w:ascii="Arial" w:hAnsi="Arial" w:cs="Arial"/>
          <w:sz w:val="24"/>
          <w:szCs w:val="24"/>
        </w:rPr>
      </w:pPr>
    </w:p>
    <w:p w:rsidR="0052788A" w:rsidRPr="00650CDF" w:rsidRDefault="0052788A" w:rsidP="00650CDF">
      <w:pPr>
        <w:autoSpaceDE w:val="0"/>
        <w:autoSpaceDN w:val="0"/>
        <w:adjustRightInd w:val="0"/>
        <w:spacing w:after="0" w:line="240" w:lineRule="auto"/>
        <w:jc w:val="both"/>
        <w:rPr>
          <w:rFonts w:ascii="Arial" w:hAnsi="Arial" w:cs="Arial"/>
          <w:sz w:val="24"/>
          <w:szCs w:val="24"/>
        </w:rPr>
      </w:pPr>
      <w:bookmarkStart w:id="6" w:name="_GoBack"/>
      <w:bookmarkEnd w:id="6"/>
    </w:p>
    <w:p w:rsidR="004428A8" w:rsidRPr="00650CDF" w:rsidRDefault="004428A8" w:rsidP="00650CDF">
      <w:pPr>
        <w:pStyle w:val="Heading2"/>
        <w:numPr>
          <w:ilvl w:val="0"/>
          <w:numId w:val="5"/>
        </w:numPr>
        <w:spacing w:before="0"/>
        <w:jc w:val="both"/>
        <w:rPr>
          <w:rFonts w:ascii="Arial" w:hAnsi="Arial" w:cs="Arial"/>
          <w:noProof/>
          <w:sz w:val="24"/>
          <w:szCs w:val="24"/>
          <w:lang w:eastAsia="en-GB"/>
        </w:rPr>
      </w:pPr>
      <w:r w:rsidRPr="00650CDF">
        <w:rPr>
          <w:rFonts w:ascii="Arial" w:hAnsi="Arial" w:cs="Arial"/>
          <w:noProof/>
          <w:sz w:val="24"/>
          <w:szCs w:val="24"/>
          <w:lang w:eastAsia="en-GB"/>
        </w:rPr>
        <w:t>Review</w:t>
      </w:r>
    </w:p>
    <w:p w:rsidR="004428A8" w:rsidRPr="00650CDF" w:rsidRDefault="004428A8" w:rsidP="00650CDF">
      <w:pPr>
        <w:autoSpaceDE w:val="0"/>
        <w:autoSpaceDN w:val="0"/>
        <w:adjustRightInd w:val="0"/>
        <w:spacing w:after="0" w:line="240" w:lineRule="auto"/>
        <w:ind w:left="720" w:hanging="720"/>
        <w:jc w:val="both"/>
        <w:rPr>
          <w:rFonts w:ascii="Arial" w:hAnsi="Arial" w:cs="Arial"/>
          <w:sz w:val="24"/>
          <w:szCs w:val="24"/>
        </w:rPr>
      </w:pPr>
    </w:p>
    <w:p w:rsidR="00DD67F0" w:rsidRPr="00650CDF" w:rsidRDefault="00DD0D07" w:rsidP="00650CDF">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8</w:t>
      </w:r>
      <w:r w:rsidR="004428A8" w:rsidRPr="00650CDF">
        <w:rPr>
          <w:rFonts w:ascii="Arial" w:hAnsi="Arial" w:cs="Arial"/>
          <w:sz w:val="24"/>
          <w:szCs w:val="24"/>
        </w:rPr>
        <w:t>.1</w:t>
      </w:r>
      <w:r w:rsidR="004428A8" w:rsidRPr="00650CDF">
        <w:rPr>
          <w:rFonts w:ascii="Arial" w:hAnsi="Arial" w:cs="Arial"/>
          <w:sz w:val="24"/>
          <w:szCs w:val="24"/>
        </w:rPr>
        <w:tab/>
        <w:t>The Risk Management Policy will be reviewed every three years (from the date of approval) by the Govan Housing Association Management Committee. The review process will ensure its continuing suitability, adequacy and effectiveness or as required by the introduction of new legislation or regulation that impacts on the Group’s obligations in regard to risk management, changes to the Group’s business practices or in the light of management system changes.</w:t>
      </w:r>
    </w:p>
    <w:p w:rsidR="004428A8" w:rsidRPr="00650CDF" w:rsidRDefault="004428A8" w:rsidP="00650CDF">
      <w:pPr>
        <w:autoSpaceDE w:val="0"/>
        <w:autoSpaceDN w:val="0"/>
        <w:adjustRightInd w:val="0"/>
        <w:spacing w:after="0" w:line="240" w:lineRule="auto"/>
        <w:ind w:left="720" w:hanging="720"/>
        <w:jc w:val="both"/>
        <w:rPr>
          <w:rFonts w:ascii="Arial" w:hAnsi="Arial" w:cs="Arial"/>
          <w:sz w:val="24"/>
          <w:szCs w:val="24"/>
        </w:rPr>
      </w:pPr>
    </w:p>
    <w:p w:rsidR="004428A8" w:rsidRPr="00650CDF" w:rsidRDefault="004428A8" w:rsidP="00650CDF">
      <w:pPr>
        <w:autoSpaceDE w:val="0"/>
        <w:autoSpaceDN w:val="0"/>
        <w:adjustRightInd w:val="0"/>
        <w:spacing w:after="0" w:line="240" w:lineRule="auto"/>
        <w:ind w:left="720" w:hanging="720"/>
        <w:jc w:val="both"/>
        <w:rPr>
          <w:rFonts w:ascii="Arial" w:hAnsi="Arial" w:cs="Arial"/>
          <w:sz w:val="24"/>
          <w:szCs w:val="24"/>
        </w:rPr>
      </w:pPr>
    </w:p>
    <w:p w:rsidR="00DD67F0" w:rsidRPr="00DD67F0" w:rsidRDefault="00DD67F0" w:rsidP="00DD67F0">
      <w:pPr>
        <w:tabs>
          <w:tab w:val="left" w:pos="2865"/>
        </w:tabs>
        <w:rPr>
          <w:rFonts w:ascii="Arial" w:hAnsi="Arial" w:cs="Arial"/>
        </w:rPr>
        <w:sectPr w:rsidR="00DD67F0" w:rsidRPr="00DD67F0" w:rsidSect="0052788A">
          <w:footerReference w:type="default" r:id="rId22"/>
          <w:pgSz w:w="12240" w:h="15840"/>
          <w:pgMar w:top="1440" w:right="1440" w:bottom="1440" w:left="1440" w:header="708" w:footer="708" w:gutter="0"/>
          <w:cols w:space="708"/>
          <w:docGrid w:linePitch="360"/>
        </w:sectPr>
      </w:pPr>
    </w:p>
    <w:p w:rsidR="00DD67F0" w:rsidRPr="00DD67F0" w:rsidRDefault="00014AB8" w:rsidP="00DD67F0">
      <w:pPr>
        <w:pStyle w:val="Heading2"/>
        <w:spacing w:before="0"/>
        <w:rPr>
          <w:rFonts w:ascii="Arial" w:hAnsi="Arial" w:cs="Arial"/>
          <w:noProof/>
          <w:sz w:val="22"/>
          <w:szCs w:val="22"/>
          <w:lang w:eastAsia="en-GB"/>
        </w:rPr>
      </w:pPr>
      <w:bookmarkStart w:id="7" w:name="_Toc414377654"/>
      <w:bookmarkStart w:id="8" w:name="_Toc479768224"/>
      <w:r>
        <w:rPr>
          <w:rFonts w:ascii="Arial" w:hAnsi="Arial" w:cs="Arial"/>
          <w:noProof/>
          <w:sz w:val="22"/>
          <w:szCs w:val="22"/>
          <w:lang w:eastAsia="en-GB"/>
        </w:rPr>
        <w:lastRenderedPageBreak/>
        <w:t xml:space="preserve">Appendix 1 - </w:t>
      </w:r>
      <w:r w:rsidR="00DD67F0" w:rsidRPr="00DD67F0">
        <w:rPr>
          <w:rFonts w:ascii="Arial" w:hAnsi="Arial" w:cs="Arial"/>
          <w:noProof/>
          <w:sz w:val="22"/>
          <w:szCs w:val="22"/>
          <w:lang w:eastAsia="en-GB"/>
        </w:rPr>
        <w:t>Glossary of Risk Terms</w:t>
      </w:r>
      <w:bookmarkEnd w:id="7"/>
      <w:bookmarkEnd w:id="8"/>
    </w:p>
    <w:p w:rsidR="00DD67F0" w:rsidRPr="00DD67F0" w:rsidRDefault="00DD67F0" w:rsidP="00DD67F0">
      <w:pPr>
        <w:autoSpaceDE w:val="0"/>
        <w:autoSpaceDN w:val="0"/>
        <w:adjustRightInd w:val="0"/>
        <w:spacing w:after="0" w:line="240" w:lineRule="auto"/>
        <w:rPr>
          <w:rFonts w:ascii="Arial" w:hAnsi="Arial" w:cs="Arial"/>
        </w:rPr>
      </w:pPr>
    </w:p>
    <w:p w:rsidR="00DD67F0" w:rsidRPr="00DD67F0" w:rsidRDefault="00DD67F0" w:rsidP="00DD67F0">
      <w:pPr>
        <w:autoSpaceDE w:val="0"/>
        <w:autoSpaceDN w:val="0"/>
        <w:adjustRightInd w:val="0"/>
        <w:spacing w:after="0" w:line="240" w:lineRule="auto"/>
        <w:rPr>
          <w:rFonts w:ascii="Arial" w:hAnsi="Arial" w:cs="Arial"/>
        </w:rPr>
      </w:pPr>
      <w:r w:rsidRPr="00DD67F0">
        <w:rPr>
          <w:rFonts w:ascii="Arial" w:hAnsi="Arial" w:cs="Arial"/>
        </w:rPr>
        <w:t xml:space="preserve">When putting in place a structure for the analysis and management of risk, it is important that the organisation uses a common risk language. The following table sets out some definitions for the </w:t>
      </w:r>
      <w:r w:rsidR="002070F2">
        <w:rPr>
          <w:rFonts w:ascii="Arial" w:hAnsi="Arial" w:cs="Arial"/>
        </w:rPr>
        <w:t>Group</w:t>
      </w:r>
      <w:r w:rsidRPr="00DD67F0">
        <w:rPr>
          <w:rFonts w:ascii="Arial" w:hAnsi="Arial" w:cs="Arial"/>
        </w:rPr>
        <w:t>’s risk management activities.</w:t>
      </w:r>
    </w:p>
    <w:p w:rsidR="00DD67F0" w:rsidRPr="00DD67F0" w:rsidRDefault="00DD67F0" w:rsidP="00DD67F0">
      <w:pPr>
        <w:autoSpaceDE w:val="0"/>
        <w:autoSpaceDN w:val="0"/>
        <w:adjustRightInd w:val="0"/>
        <w:spacing w:after="0" w:line="240" w:lineRule="auto"/>
        <w:rPr>
          <w:rFonts w:ascii="Arial" w:hAnsi="Arial" w:cs="Arial"/>
        </w:rPr>
      </w:pPr>
    </w:p>
    <w:tbl>
      <w:tblPr>
        <w:tblStyle w:val="LightGrid-Accent1"/>
        <w:tblW w:w="0" w:type="auto"/>
        <w:tblLook w:val="04A0" w:firstRow="1" w:lastRow="0" w:firstColumn="1" w:lastColumn="0" w:noHBand="0" w:noVBand="1"/>
      </w:tblPr>
      <w:tblGrid>
        <w:gridCol w:w="1526"/>
        <w:gridCol w:w="4025"/>
        <w:gridCol w:w="4025"/>
      </w:tblGrid>
      <w:tr w:rsidR="00DD67F0" w:rsidRPr="00DD67F0" w:rsidTr="00DD6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8" w:space="0" w:color="4F81BD" w:themeColor="accent1"/>
            </w:tcBorders>
          </w:tcPr>
          <w:p w:rsidR="00DD67F0" w:rsidRPr="00DC0CC1" w:rsidRDefault="00DD67F0" w:rsidP="00DD67F0">
            <w:pPr>
              <w:rPr>
                <w:rFonts w:ascii="Arial" w:hAnsi="Arial" w:cs="Arial"/>
                <w:sz w:val="20"/>
                <w:lang w:eastAsia="en-GB"/>
              </w:rPr>
            </w:pPr>
            <w:r w:rsidRPr="00DC0CC1">
              <w:rPr>
                <w:rFonts w:ascii="Arial" w:hAnsi="Arial" w:cs="Arial"/>
                <w:sz w:val="20"/>
                <w:lang w:eastAsia="en-GB"/>
              </w:rPr>
              <w:t>Assurance</w:t>
            </w:r>
          </w:p>
        </w:tc>
        <w:tc>
          <w:tcPr>
            <w:tcW w:w="8050" w:type="dxa"/>
            <w:gridSpan w:val="2"/>
            <w:tcBorders>
              <w:bottom w:val="single" w:sz="8" w:space="0" w:color="4F81BD" w:themeColor="accent1"/>
            </w:tcBorders>
          </w:tcPr>
          <w:p w:rsidR="00DD67F0" w:rsidRPr="00DC0CC1" w:rsidRDefault="00DD67F0" w:rsidP="00DD67F0">
            <w:pPr>
              <w:cnfStyle w:val="100000000000" w:firstRow="1" w:lastRow="0" w:firstColumn="0" w:lastColumn="0" w:oddVBand="0" w:evenVBand="0" w:oddHBand="0" w:evenHBand="0" w:firstRowFirstColumn="0" w:firstRowLastColumn="0" w:lastRowFirstColumn="0" w:lastRowLastColumn="0"/>
              <w:rPr>
                <w:rFonts w:ascii="Arial" w:hAnsi="Arial" w:cs="Arial"/>
                <w:b w:val="0"/>
                <w:sz w:val="20"/>
                <w:lang w:eastAsia="en-GB"/>
              </w:rPr>
            </w:pPr>
            <w:r w:rsidRPr="00DC0CC1">
              <w:rPr>
                <w:rFonts w:ascii="Arial" w:hAnsi="Arial" w:cs="Arial"/>
                <w:b w:val="0"/>
                <w:sz w:val="20"/>
                <w:lang w:eastAsia="en-GB"/>
              </w:rPr>
              <w:t>An evaluated opinion, based on evidence gained from review, on the organisation’s governance, risk management and internal control framework.</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Embedding risk management</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The identification and management of risk becomes part of </w:t>
            </w:r>
            <w:r w:rsidRPr="00DC0CC1">
              <w:rPr>
                <w:rFonts w:ascii="Arial" w:hAnsi="Arial" w:cs="Arial"/>
                <w:i/>
                <w:sz w:val="20"/>
                <w:lang w:eastAsia="en-GB"/>
              </w:rPr>
              <w:t xml:space="preserve">‘business as usual’ </w:t>
            </w:r>
            <w:r w:rsidRPr="00DC0CC1">
              <w:rPr>
                <w:rFonts w:ascii="Arial" w:hAnsi="Arial" w:cs="Arial"/>
                <w:sz w:val="20"/>
                <w:lang w:eastAsia="en-GB"/>
              </w:rPr>
              <w:t xml:space="preserve">within the </w:t>
            </w:r>
            <w:r w:rsidR="002070F2">
              <w:rPr>
                <w:rFonts w:ascii="Arial" w:hAnsi="Arial" w:cs="Arial"/>
                <w:sz w:val="20"/>
                <w:lang w:eastAsia="en-GB"/>
              </w:rPr>
              <w:t>Group</w:t>
            </w:r>
            <w:r w:rsidRPr="00DC0CC1">
              <w:rPr>
                <w:rFonts w:ascii="Arial" w:hAnsi="Arial" w:cs="Arial"/>
                <w:sz w:val="20"/>
                <w:lang w:eastAsia="en-GB"/>
              </w:rPr>
              <w:t>.</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Exposure</w:t>
            </w:r>
          </w:p>
        </w:tc>
        <w:tc>
          <w:tcPr>
            <w:tcW w:w="8050" w:type="dxa"/>
            <w:gridSpan w:val="2"/>
          </w:tcPr>
          <w:p w:rsidR="00DD67F0" w:rsidRPr="00DC0CC1" w:rsidRDefault="00DD67F0" w:rsidP="00DD67F0">
            <w:p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The consequences, as a combination of impact and likelihood, which may be experienced by the organisation if a specific risk is realised. </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External Risk</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External risks arise when there are external forces that could either put the </w:t>
            </w:r>
            <w:r w:rsidR="002070F2">
              <w:rPr>
                <w:rFonts w:ascii="Arial" w:hAnsi="Arial" w:cs="Arial"/>
                <w:sz w:val="20"/>
                <w:lang w:eastAsia="en-GB"/>
              </w:rPr>
              <w:t>Group</w:t>
            </w:r>
            <w:r w:rsidRPr="00DC0CC1">
              <w:rPr>
                <w:rFonts w:ascii="Arial" w:hAnsi="Arial" w:cs="Arial"/>
                <w:sz w:val="20"/>
                <w:lang w:eastAsia="en-GB"/>
              </w:rPr>
              <w:t xml:space="preserve"> out of business or significantly change the assumptions that drive its overall objectives and strategies. </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Financial Risk</w:t>
            </w:r>
          </w:p>
        </w:tc>
        <w:tc>
          <w:tcPr>
            <w:tcW w:w="8050" w:type="dxa"/>
            <w:gridSpan w:val="2"/>
          </w:tcPr>
          <w:p w:rsidR="00DD67F0" w:rsidRPr="00DC0CC1" w:rsidRDefault="00DD67F0" w:rsidP="00DD67F0">
            <w:p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Risk related specifically to the financial aspects of the business and the underlying business processes. </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Impact</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The probable effect on the organisation if the risk occurs. </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Information Risk</w:t>
            </w:r>
          </w:p>
        </w:tc>
        <w:tc>
          <w:tcPr>
            <w:tcW w:w="8050" w:type="dxa"/>
            <w:gridSpan w:val="2"/>
          </w:tcPr>
          <w:p w:rsidR="00DD67F0" w:rsidRPr="00DC0CC1" w:rsidRDefault="00DD67F0" w:rsidP="00DD67F0">
            <w:p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Risks arising from the </w:t>
            </w:r>
            <w:r w:rsidR="002070F2">
              <w:rPr>
                <w:rFonts w:ascii="Arial" w:hAnsi="Arial" w:cs="Arial"/>
                <w:sz w:val="20"/>
                <w:lang w:eastAsia="en-GB"/>
              </w:rPr>
              <w:t>Group</w:t>
            </w:r>
            <w:r w:rsidRPr="00DC0CC1">
              <w:rPr>
                <w:rFonts w:ascii="Arial" w:hAnsi="Arial" w:cs="Arial"/>
                <w:sz w:val="20"/>
                <w:lang w:eastAsia="en-GB"/>
              </w:rPr>
              <w:t xml:space="preserve"> making decisions, based on information which is in some way flawed.</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Inherent Risk</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The risk that arises from engaging in an activity. It is the risk that exists before any mitigation (risk treatment action is taken).</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Likelihood</w:t>
            </w:r>
          </w:p>
        </w:tc>
        <w:tc>
          <w:tcPr>
            <w:tcW w:w="8050" w:type="dxa"/>
            <w:gridSpan w:val="2"/>
          </w:tcPr>
          <w:p w:rsidR="00DD67F0" w:rsidRPr="00DC0CC1" w:rsidRDefault="00DD67F0" w:rsidP="00DD67F0">
            <w:p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The probability or chance of the risk occurring.</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Operational Risks</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Those risks associated with all the on-going day-to-day management of the business. This will include the risks around the business processes employed to meet the business objectives. </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People Risks</w:t>
            </w:r>
          </w:p>
        </w:tc>
        <w:tc>
          <w:tcPr>
            <w:tcW w:w="8050" w:type="dxa"/>
            <w:gridSpan w:val="2"/>
          </w:tcPr>
          <w:p w:rsidR="00DD67F0" w:rsidRPr="00DC0CC1" w:rsidRDefault="00DD67F0" w:rsidP="00DD67F0">
            <w:p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Risks arising from the fact that people can make both inadvertent and deliberate errors in carrying out their day-to-day tasks. </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Residual Risk</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The remaining levels of risk after treatment measures have been taken. If it falls within the organisation’s risk tolerance, then residual risk is acceptable; if it falls outside, then other actions may be needed. </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Risk</w:t>
            </w:r>
          </w:p>
        </w:tc>
        <w:tc>
          <w:tcPr>
            <w:tcW w:w="8050" w:type="dxa"/>
            <w:gridSpan w:val="2"/>
          </w:tcPr>
          <w:p w:rsidR="00DD67F0" w:rsidRPr="00DC0CC1" w:rsidRDefault="00DD67F0" w:rsidP="00DD67F0">
            <w:p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The threat that an event of action will adversely affect the </w:t>
            </w:r>
            <w:r w:rsidR="002070F2">
              <w:rPr>
                <w:rFonts w:ascii="Arial" w:hAnsi="Arial" w:cs="Arial"/>
                <w:sz w:val="20"/>
                <w:lang w:eastAsia="en-GB"/>
              </w:rPr>
              <w:t>Group</w:t>
            </w:r>
            <w:r w:rsidRPr="00DC0CC1">
              <w:rPr>
                <w:rFonts w:ascii="Arial" w:hAnsi="Arial" w:cs="Arial"/>
                <w:sz w:val="20"/>
                <w:lang w:eastAsia="en-GB"/>
              </w:rPr>
              <w:t xml:space="preserve">’s ability to maximise stakeholder value and to achieve its business objectives. Risk arises as much from the possibility that opportunities will not be realised as it does from the possibility that threats will materialise or that errors will be made. </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Risk Appetite</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The amount of risk that an organisation is prepared to accept, tolerate, or be exposed to at any point in time. </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 xml:space="preserve">Risk Assessment </w:t>
            </w:r>
          </w:p>
        </w:tc>
        <w:tc>
          <w:tcPr>
            <w:tcW w:w="8050" w:type="dxa"/>
            <w:gridSpan w:val="2"/>
          </w:tcPr>
          <w:p w:rsidR="00DD67F0" w:rsidRPr="00DC0CC1" w:rsidRDefault="00DD67F0" w:rsidP="00DD67F0">
            <w:p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The evaluation of risk with regards to the impact if the risk is realised, and the likelihood of the risk being realised. </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Risk Management</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A logical and systematic method of identifying, analysing, assessing, treating, monitoring and communicating risks in a way that will enable the </w:t>
            </w:r>
            <w:r w:rsidR="002070F2">
              <w:rPr>
                <w:rFonts w:ascii="Arial" w:hAnsi="Arial" w:cs="Arial"/>
                <w:sz w:val="20"/>
                <w:lang w:eastAsia="en-GB"/>
              </w:rPr>
              <w:t>Group</w:t>
            </w:r>
            <w:r w:rsidRPr="00DC0CC1">
              <w:rPr>
                <w:rFonts w:ascii="Arial" w:hAnsi="Arial" w:cs="Arial"/>
                <w:sz w:val="20"/>
                <w:lang w:eastAsia="en-GB"/>
              </w:rPr>
              <w:t xml:space="preserve"> to minimise losses and maximise opportunities. </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D67F0" w:rsidRPr="00DC0CC1" w:rsidRDefault="00DD67F0" w:rsidP="00DD67F0">
            <w:pPr>
              <w:rPr>
                <w:rFonts w:ascii="Arial" w:hAnsi="Arial" w:cs="Arial"/>
                <w:sz w:val="20"/>
                <w:lang w:eastAsia="en-GB"/>
              </w:rPr>
            </w:pPr>
            <w:r w:rsidRPr="00DC0CC1">
              <w:rPr>
                <w:rFonts w:ascii="Arial" w:hAnsi="Arial" w:cs="Arial"/>
                <w:sz w:val="20"/>
                <w:lang w:eastAsia="en-GB"/>
              </w:rPr>
              <w:t>Risk Register</w:t>
            </w:r>
          </w:p>
        </w:tc>
        <w:tc>
          <w:tcPr>
            <w:tcW w:w="8050" w:type="dxa"/>
            <w:gridSpan w:val="2"/>
          </w:tcPr>
          <w:p w:rsidR="00DD67F0" w:rsidRPr="00DC0CC1" w:rsidRDefault="00DD67F0" w:rsidP="00DD67F0">
            <w:p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 xml:space="preserve">The documented and prioritised overall assessment of the range of specific risks faced by the </w:t>
            </w:r>
            <w:r w:rsidR="002070F2">
              <w:rPr>
                <w:rFonts w:ascii="Arial" w:hAnsi="Arial" w:cs="Arial"/>
                <w:sz w:val="20"/>
                <w:lang w:eastAsia="en-GB"/>
              </w:rPr>
              <w:t>Group</w:t>
            </w:r>
            <w:r w:rsidRPr="00DC0CC1">
              <w:rPr>
                <w:rFonts w:ascii="Arial" w:hAnsi="Arial" w:cs="Arial"/>
                <w:sz w:val="20"/>
                <w:lang w:eastAsia="en-GB"/>
              </w:rPr>
              <w:t>.</w:t>
            </w:r>
          </w:p>
        </w:tc>
      </w:tr>
      <w:tr w:rsidR="00DD67F0" w:rsidRPr="00DD67F0" w:rsidTr="00DD6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DD67F0" w:rsidRPr="00DC0CC1" w:rsidRDefault="00DD67F0" w:rsidP="00DD67F0">
            <w:pPr>
              <w:rPr>
                <w:rFonts w:ascii="Arial" w:hAnsi="Arial" w:cs="Arial"/>
                <w:sz w:val="20"/>
                <w:lang w:eastAsia="en-GB"/>
              </w:rPr>
            </w:pPr>
            <w:r w:rsidRPr="00DC0CC1">
              <w:rPr>
                <w:rFonts w:ascii="Arial" w:hAnsi="Arial" w:cs="Arial"/>
                <w:sz w:val="20"/>
                <w:lang w:eastAsia="en-GB"/>
              </w:rPr>
              <w:t>Risk Treatment</w:t>
            </w:r>
          </w:p>
        </w:tc>
        <w:tc>
          <w:tcPr>
            <w:tcW w:w="8050" w:type="dxa"/>
            <w:gridSpan w:val="2"/>
          </w:tcPr>
          <w:p w:rsidR="00DD67F0" w:rsidRPr="00DC0CC1" w:rsidRDefault="00DD67F0" w:rsidP="00DD67F0">
            <w:pPr>
              <w:cnfStyle w:val="000000100000" w:firstRow="0" w:lastRow="0" w:firstColumn="0" w:lastColumn="0" w:oddVBand="0" w:evenVBand="0" w:oddHBand="1" w:evenHBand="0" w:firstRowFirstColumn="0" w:firstRowLastColumn="0" w:lastRowFirstColumn="0" w:lastRowLastColumn="0"/>
              <w:rPr>
                <w:rFonts w:ascii="Arial" w:hAnsi="Arial" w:cs="Arial"/>
                <w:sz w:val="20"/>
                <w:lang w:eastAsia="en-GB"/>
              </w:rPr>
            </w:pPr>
            <w:r w:rsidRPr="00DC0CC1">
              <w:rPr>
                <w:rFonts w:ascii="Arial" w:hAnsi="Arial" w:cs="Arial"/>
                <w:sz w:val="20"/>
                <w:lang w:eastAsia="en-GB"/>
              </w:rPr>
              <w:t>The selection and implementation of appropriate options for dealing with risks. These may include:</w:t>
            </w:r>
          </w:p>
        </w:tc>
      </w:tr>
      <w:tr w:rsidR="00DD67F0" w:rsidRPr="00DD67F0" w:rsidTr="00DD6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DD67F0" w:rsidRPr="00DC0CC1" w:rsidRDefault="00DD67F0" w:rsidP="00DD67F0">
            <w:pPr>
              <w:rPr>
                <w:rFonts w:ascii="Arial" w:hAnsi="Arial" w:cs="Arial"/>
                <w:sz w:val="20"/>
                <w:lang w:eastAsia="en-GB"/>
              </w:rPr>
            </w:pPr>
          </w:p>
        </w:tc>
        <w:tc>
          <w:tcPr>
            <w:tcW w:w="4025" w:type="dxa"/>
          </w:tcPr>
          <w:p w:rsidR="00DD67F0" w:rsidRPr="00DC0CC1" w:rsidRDefault="00DD67F0" w:rsidP="00DD67F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Risk Acceptance</w:t>
            </w:r>
          </w:p>
          <w:p w:rsidR="00DD67F0" w:rsidRPr="00DC0CC1" w:rsidRDefault="00DD67F0" w:rsidP="00DD67F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Risk Transfer (e.g. insurance)</w:t>
            </w:r>
          </w:p>
          <w:p w:rsidR="00DD67F0" w:rsidRPr="00DC0CC1" w:rsidRDefault="00DD67F0" w:rsidP="00DD67F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Risk elimination</w:t>
            </w:r>
          </w:p>
        </w:tc>
        <w:tc>
          <w:tcPr>
            <w:tcW w:w="4025" w:type="dxa"/>
          </w:tcPr>
          <w:p w:rsidR="00DD67F0" w:rsidRPr="00DC0CC1" w:rsidRDefault="00DD67F0" w:rsidP="00DD67F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Risk increase</w:t>
            </w:r>
          </w:p>
          <w:p w:rsidR="00DD67F0" w:rsidRPr="00DC0CC1" w:rsidRDefault="00DD67F0" w:rsidP="00DD67F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Risk reduction</w:t>
            </w:r>
          </w:p>
          <w:p w:rsidR="00DD67F0" w:rsidRPr="00DC0CC1" w:rsidRDefault="00DD67F0" w:rsidP="00DD67F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lang w:eastAsia="en-GB"/>
              </w:rPr>
            </w:pPr>
            <w:r w:rsidRPr="00DC0CC1">
              <w:rPr>
                <w:rFonts w:ascii="Arial" w:hAnsi="Arial" w:cs="Arial"/>
                <w:sz w:val="20"/>
                <w:lang w:eastAsia="en-GB"/>
              </w:rPr>
              <w:t>Risk avoidance</w:t>
            </w:r>
          </w:p>
        </w:tc>
      </w:tr>
    </w:tbl>
    <w:p w:rsidR="00DD67F0" w:rsidRPr="00DD67F0" w:rsidRDefault="00DD67F0" w:rsidP="00DD67F0">
      <w:pPr>
        <w:rPr>
          <w:rFonts w:ascii="Arial" w:hAnsi="Arial" w:cs="Arial"/>
          <w:lang w:eastAsia="en-GB"/>
        </w:rPr>
        <w:sectPr w:rsidR="00DD67F0" w:rsidRPr="00DD67F0" w:rsidSect="004525C0">
          <w:pgSz w:w="12240" w:h="15840"/>
          <w:pgMar w:top="1440" w:right="1440" w:bottom="1440" w:left="1440" w:header="708" w:footer="708" w:gutter="0"/>
          <w:cols w:space="708"/>
          <w:docGrid w:linePitch="360"/>
        </w:sectPr>
      </w:pPr>
    </w:p>
    <w:p w:rsidR="00091C62" w:rsidRDefault="00D60F73" w:rsidP="00D60F73">
      <w:pPr>
        <w:rPr>
          <w:rFonts w:ascii="Arial" w:hAnsi="Arial" w:cs="Arial"/>
          <w:b/>
        </w:rPr>
      </w:pPr>
      <w:r>
        <w:rPr>
          <w:rFonts w:ascii="Arial" w:hAnsi="Arial" w:cs="Arial"/>
          <w:b/>
        </w:rPr>
        <w:lastRenderedPageBreak/>
        <w:t xml:space="preserve">Appendix </w:t>
      </w:r>
      <w:r w:rsidR="00DC0CC1">
        <w:rPr>
          <w:rFonts w:ascii="Arial" w:hAnsi="Arial" w:cs="Arial"/>
          <w:b/>
        </w:rPr>
        <w:t>2</w:t>
      </w:r>
      <w:r>
        <w:rPr>
          <w:rFonts w:ascii="Arial" w:hAnsi="Arial" w:cs="Arial"/>
          <w:b/>
        </w:rPr>
        <w:t xml:space="preserve"> – Impact Descriptors Explained</w:t>
      </w:r>
    </w:p>
    <w:tbl>
      <w:tblPr>
        <w:tblStyle w:val="LightGrid-Accent1"/>
        <w:tblW w:w="14709" w:type="dxa"/>
        <w:tblLayout w:type="fixed"/>
        <w:tblLook w:val="04A0" w:firstRow="1" w:lastRow="0" w:firstColumn="1" w:lastColumn="0" w:noHBand="0" w:noVBand="1"/>
      </w:tblPr>
      <w:tblGrid>
        <w:gridCol w:w="1668"/>
        <w:gridCol w:w="1275"/>
        <w:gridCol w:w="1560"/>
        <w:gridCol w:w="1275"/>
        <w:gridCol w:w="2268"/>
        <w:gridCol w:w="2552"/>
        <w:gridCol w:w="2551"/>
        <w:gridCol w:w="1560"/>
      </w:tblGrid>
      <w:tr w:rsidR="00D60F73" w:rsidRPr="00DD67F0" w:rsidTr="00D6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60F73" w:rsidRPr="00D60F73" w:rsidRDefault="00D60F73" w:rsidP="00341E97">
            <w:pPr>
              <w:autoSpaceDE w:val="0"/>
              <w:autoSpaceDN w:val="0"/>
              <w:adjustRightInd w:val="0"/>
              <w:jc w:val="center"/>
              <w:rPr>
                <w:rFonts w:ascii="Arial" w:hAnsi="Arial" w:cs="Arial"/>
                <w:i/>
                <w:sz w:val="20"/>
              </w:rPr>
            </w:pPr>
            <w:r w:rsidRPr="00D60F73">
              <w:rPr>
                <w:rFonts w:ascii="Arial" w:hAnsi="Arial" w:cs="Arial"/>
                <w:i/>
                <w:sz w:val="20"/>
              </w:rPr>
              <w:t>Description</w:t>
            </w:r>
          </w:p>
        </w:tc>
        <w:tc>
          <w:tcPr>
            <w:tcW w:w="1275" w:type="dxa"/>
          </w:tcPr>
          <w:p w:rsidR="00D60F73" w:rsidRPr="00D60F73" w:rsidRDefault="00D60F73" w:rsidP="00341E9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D60F73">
              <w:rPr>
                <w:rFonts w:ascii="Arial" w:hAnsi="Arial" w:cs="Arial"/>
                <w:i/>
                <w:sz w:val="20"/>
              </w:rPr>
              <w:t>Financial Impact</w:t>
            </w:r>
          </w:p>
        </w:tc>
        <w:tc>
          <w:tcPr>
            <w:tcW w:w="1560" w:type="dxa"/>
          </w:tcPr>
          <w:p w:rsidR="00D60F73" w:rsidRPr="00D60F73" w:rsidRDefault="00D60F73" w:rsidP="00341E9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D60F73">
              <w:rPr>
                <w:rFonts w:ascii="Arial" w:hAnsi="Arial" w:cs="Arial"/>
                <w:i/>
                <w:sz w:val="20"/>
              </w:rPr>
              <w:t>Health &amp; Safety</w:t>
            </w:r>
          </w:p>
        </w:tc>
        <w:tc>
          <w:tcPr>
            <w:tcW w:w="1275" w:type="dxa"/>
          </w:tcPr>
          <w:p w:rsidR="00D60F73" w:rsidRPr="00D60F73" w:rsidRDefault="00D60F73" w:rsidP="00341E9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D60F73">
              <w:rPr>
                <w:rFonts w:ascii="Arial" w:hAnsi="Arial" w:cs="Arial"/>
                <w:i/>
                <w:sz w:val="20"/>
              </w:rPr>
              <w:t>Asset Loss</w:t>
            </w:r>
          </w:p>
        </w:tc>
        <w:tc>
          <w:tcPr>
            <w:tcW w:w="2268" w:type="dxa"/>
          </w:tcPr>
          <w:p w:rsidR="00D60F73" w:rsidRPr="00D60F73" w:rsidRDefault="00D60F73" w:rsidP="00341E9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D60F73">
              <w:rPr>
                <w:rFonts w:ascii="Arial" w:hAnsi="Arial" w:cs="Arial"/>
                <w:i/>
                <w:sz w:val="20"/>
              </w:rPr>
              <w:t>Business Interruption</w:t>
            </w:r>
          </w:p>
        </w:tc>
        <w:tc>
          <w:tcPr>
            <w:tcW w:w="2552" w:type="dxa"/>
          </w:tcPr>
          <w:p w:rsidR="00D60F73" w:rsidRPr="00D60F73" w:rsidRDefault="00D60F73" w:rsidP="00341E9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D60F73">
              <w:rPr>
                <w:rFonts w:ascii="Arial" w:hAnsi="Arial" w:cs="Arial"/>
                <w:i/>
                <w:sz w:val="20"/>
              </w:rPr>
              <w:t>Reputation and Image</w:t>
            </w:r>
          </w:p>
        </w:tc>
        <w:tc>
          <w:tcPr>
            <w:tcW w:w="2551" w:type="dxa"/>
          </w:tcPr>
          <w:p w:rsidR="00D60F73" w:rsidRPr="00D60F73" w:rsidRDefault="00D60F73" w:rsidP="00341E9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D60F73">
              <w:rPr>
                <w:rFonts w:ascii="Arial" w:hAnsi="Arial" w:cs="Arial"/>
                <w:i/>
                <w:sz w:val="20"/>
              </w:rPr>
              <w:t>Corporate Objectives/ Performance</w:t>
            </w:r>
          </w:p>
        </w:tc>
        <w:tc>
          <w:tcPr>
            <w:tcW w:w="1560" w:type="dxa"/>
          </w:tcPr>
          <w:p w:rsidR="00D60F73" w:rsidRPr="00D60F73" w:rsidRDefault="00D60F73" w:rsidP="00341E9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D60F73">
              <w:rPr>
                <w:rFonts w:ascii="Arial" w:hAnsi="Arial" w:cs="Arial"/>
                <w:i/>
                <w:sz w:val="20"/>
              </w:rPr>
              <w:t>Intervention</w:t>
            </w:r>
          </w:p>
        </w:tc>
      </w:tr>
      <w:tr w:rsidR="00D60F73" w:rsidRPr="00DD67F0" w:rsidTr="00D6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60F73" w:rsidRPr="00D60F73" w:rsidRDefault="00D60F73" w:rsidP="00341E97">
            <w:pPr>
              <w:autoSpaceDE w:val="0"/>
              <w:autoSpaceDN w:val="0"/>
              <w:adjustRightInd w:val="0"/>
              <w:rPr>
                <w:rFonts w:ascii="Arial" w:hAnsi="Arial" w:cs="Arial"/>
                <w:i/>
                <w:sz w:val="20"/>
              </w:rPr>
            </w:pPr>
            <w:r w:rsidRPr="00D60F73">
              <w:rPr>
                <w:rFonts w:ascii="Arial" w:hAnsi="Arial" w:cs="Arial"/>
                <w:i/>
                <w:sz w:val="20"/>
              </w:rPr>
              <w:t>Insignificant</w:t>
            </w:r>
          </w:p>
        </w:tc>
        <w:tc>
          <w:tcPr>
            <w:tcW w:w="1275"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0.5% of either a Capital or Revenue budget.</w:t>
            </w:r>
          </w:p>
        </w:tc>
        <w:tc>
          <w:tcPr>
            <w:tcW w:w="1560"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No or only minor personal injury. First Aid needed, but no days lost.</w:t>
            </w:r>
          </w:p>
        </w:tc>
        <w:tc>
          <w:tcPr>
            <w:tcW w:w="1275"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Little or no impact on assets.</w:t>
            </w:r>
          </w:p>
        </w:tc>
        <w:tc>
          <w:tcPr>
            <w:tcW w:w="2268"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Interruption negligible; less than ½ day. Critical systems unavailable for less than an hour.</w:t>
            </w:r>
          </w:p>
        </w:tc>
        <w:tc>
          <w:tcPr>
            <w:tcW w:w="2552"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Minor article in local media or website (story unsubstantiated).</w:t>
            </w:r>
          </w:p>
        </w:tc>
        <w:tc>
          <w:tcPr>
            <w:tcW w:w="2551"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 xml:space="preserve">Workaround required, within </w:t>
            </w:r>
            <w:r w:rsidR="002070F2">
              <w:rPr>
                <w:rFonts w:ascii="Arial" w:hAnsi="Arial" w:cs="Arial"/>
                <w:b/>
                <w:i/>
                <w:sz w:val="20"/>
              </w:rPr>
              <w:t>Group</w:t>
            </w:r>
            <w:r w:rsidRPr="00D60F73">
              <w:rPr>
                <w:rFonts w:ascii="Arial" w:hAnsi="Arial" w:cs="Arial"/>
                <w:b/>
                <w:i/>
                <w:sz w:val="20"/>
              </w:rPr>
              <w:t xml:space="preserve"> resources. </w:t>
            </w:r>
          </w:p>
        </w:tc>
        <w:tc>
          <w:tcPr>
            <w:tcW w:w="1560"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Relevant Manager intervenes.</w:t>
            </w:r>
          </w:p>
        </w:tc>
      </w:tr>
      <w:tr w:rsidR="00D60F73" w:rsidRPr="00DD67F0" w:rsidTr="00D60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60F73" w:rsidRPr="00D60F73" w:rsidRDefault="00D60F73" w:rsidP="00341E97">
            <w:pPr>
              <w:autoSpaceDE w:val="0"/>
              <w:autoSpaceDN w:val="0"/>
              <w:adjustRightInd w:val="0"/>
              <w:rPr>
                <w:rFonts w:ascii="Arial" w:hAnsi="Arial" w:cs="Arial"/>
                <w:i/>
                <w:sz w:val="20"/>
              </w:rPr>
            </w:pPr>
            <w:r w:rsidRPr="00D60F73">
              <w:rPr>
                <w:rFonts w:ascii="Arial" w:hAnsi="Arial" w:cs="Arial"/>
                <w:i/>
                <w:sz w:val="20"/>
              </w:rPr>
              <w:t>Minor</w:t>
            </w:r>
          </w:p>
        </w:tc>
        <w:tc>
          <w:tcPr>
            <w:tcW w:w="1275"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2.5% of only either a Capital or Revenue budget.</w:t>
            </w:r>
          </w:p>
        </w:tc>
        <w:tc>
          <w:tcPr>
            <w:tcW w:w="1560"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Minor injury, medical treatment and some days lost.</w:t>
            </w:r>
          </w:p>
        </w:tc>
        <w:tc>
          <w:tcPr>
            <w:tcW w:w="1275"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 xml:space="preserve">Minor loss or damage to assets. </w:t>
            </w:r>
          </w:p>
        </w:tc>
        <w:tc>
          <w:tcPr>
            <w:tcW w:w="2268"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 xml:space="preserve">Interruption inconvenient; ½ - 1 day lost. Critical systems unavailable for several hours. </w:t>
            </w:r>
          </w:p>
        </w:tc>
        <w:tc>
          <w:tcPr>
            <w:tcW w:w="2552"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Headline article in local media or housing press (Substantiated story).</w:t>
            </w:r>
          </w:p>
        </w:tc>
        <w:tc>
          <w:tcPr>
            <w:tcW w:w="2551"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 xml:space="preserve">Additional resources requiring Senior Team authorisation or delay in achieving part of an objective. </w:t>
            </w:r>
          </w:p>
        </w:tc>
        <w:tc>
          <w:tcPr>
            <w:tcW w:w="1560"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Senior Manager intervenes.</w:t>
            </w:r>
          </w:p>
        </w:tc>
      </w:tr>
      <w:tr w:rsidR="00D60F73" w:rsidRPr="00DD67F0" w:rsidTr="00D6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60F73" w:rsidRPr="00D60F73" w:rsidRDefault="00D60F73" w:rsidP="00341E97">
            <w:pPr>
              <w:autoSpaceDE w:val="0"/>
              <w:autoSpaceDN w:val="0"/>
              <w:adjustRightInd w:val="0"/>
              <w:rPr>
                <w:rFonts w:ascii="Arial" w:hAnsi="Arial" w:cs="Arial"/>
                <w:i/>
                <w:sz w:val="20"/>
              </w:rPr>
            </w:pPr>
            <w:r w:rsidRPr="00D60F73">
              <w:rPr>
                <w:rFonts w:ascii="Arial" w:hAnsi="Arial" w:cs="Arial"/>
                <w:i/>
                <w:sz w:val="20"/>
              </w:rPr>
              <w:t>Moderate</w:t>
            </w:r>
          </w:p>
        </w:tc>
        <w:tc>
          <w:tcPr>
            <w:tcW w:w="1275"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5% of either a Capital or Revenue budget.</w:t>
            </w:r>
          </w:p>
        </w:tc>
        <w:tc>
          <w:tcPr>
            <w:tcW w:w="1560"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Serious medical treatment, hospitalisation and numerous days lost.</w:t>
            </w:r>
          </w:p>
        </w:tc>
        <w:tc>
          <w:tcPr>
            <w:tcW w:w="1275"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Major damage to assets.</w:t>
            </w:r>
          </w:p>
        </w:tc>
        <w:tc>
          <w:tcPr>
            <w:tcW w:w="2268"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Interruption 1 day to 1 week. Client dissatisfaction; Critical systems unavailable for up to 1 day.</w:t>
            </w:r>
          </w:p>
        </w:tc>
        <w:tc>
          <w:tcPr>
            <w:tcW w:w="2552"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Headline article in media (story substantiated and publicly embarrassing).</w:t>
            </w:r>
          </w:p>
        </w:tc>
        <w:tc>
          <w:tcPr>
            <w:tcW w:w="2551"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Major compromise in objectives. Variation in achievement of key objectives.</w:t>
            </w:r>
          </w:p>
        </w:tc>
        <w:tc>
          <w:tcPr>
            <w:tcW w:w="1560"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Director intervenes.</w:t>
            </w:r>
          </w:p>
        </w:tc>
      </w:tr>
      <w:tr w:rsidR="00D60F73" w:rsidRPr="00DD67F0" w:rsidTr="00D60F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60F73" w:rsidRPr="00D60F73" w:rsidRDefault="00D60F73" w:rsidP="00341E97">
            <w:pPr>
              <w:autoSpaceDE w:val="0"/>
              <w:autoSpaceDN w:val="0"/>
              <w:adjustRightInd w:val="0"/>
              <w:rPr>
                <w:rFonts w:ascii="Arial" w:hAnsi="Arial" w:cs="Arial"/>
                <w:i/>
                <w:sz w:val="20"/>
              </w:rPr>
            </w:pPr>
            <w:r w:rsidRPr="00D60F73">
              <w:rPr>
                <w:rFonts w:ascii="Arial" w:hAnsi="Arial" w:cs="Arial"/>
                <w:i/>
                <w:sz w:val="20"/>
              </w:rPr>
              <w:t>Major</w:t>
            </w:r>
          </w:p>
        </w:tc>
        <w:tc>
          <w:tcPr>
            <w:tcW w:w="1275"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10% of only either a Capital or Revenue budget.</w:t>
            </w:r>
          </w:p>
        </w:tc>
        <w:tc>
          <w:tcPr>
            <w:tcW w:w="1560"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Extensive injuries or long term illness.</w:t>
            </w:r>
          </w:p>
        </w:tc>
        <w:tc>
          <w:tcPr>
            <w:tcW w:w="1275"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 xml:space="preserve">Significant loss of assets. </w:t>
            </w:r>
          </w:p>
        </w:tc>
        <w:tc>
          <w:tcPr>
            <w:tcW w:w="2268"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1 week to 1 month. Critical systems unavailable for 1 day or a series of prolonged outages.</w:t>
            </w:r>
          </w:p>
        </w:tc>
        <w:tc>
          <w:tcPr>
            <w:tcW w:w="2552"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Short term campaign against Association (story substantiated, publicly embarrassing with third party actions.</w:t>
            </w:r>
          </w:p>
        </w:tc>
        <w:tc>
          <w:tcPr>
            <w:tcW w:w="2551"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 xml:space="preserve">Elements of objectives abandoned and fail to meet needs of a tenants and housing requirements. </w:t>
            </w:r>
          </w:p>
        </w:tc>
        <w:tc>
          <w:tcPr>
            <w:tcW w:w="1560" w:type="dxa"/>
          </w:tcPr>
          <w:p w:rsidR="00D60F73" w:rsidRPr="00D60F73" w:rsidRDefault="00D60F73" w:rsidP="00341E9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i/>
                <w:sz w:val="20"/>
              </w:rPr>
            </w:pPr>
            <w:r w:rsidRPr="00D60F73">
              <w:rPr>
                <w:rFonts w:ascii="Arial" w:hAnsi="Arial" w:cs="Arial"/>
                <w:b/>
                <w:i/>
                <w:sz w:val="20"/>
              </w:rPr>
              <w:t xml:space="preserve">Chief Executive intervenes. </w:t>
            </w:r>
          </w:p>
        </w:tc>
      </w:tr>
      <w:tr w:rsidR="00D60F73" w:rsidRPr="00DD67F0" w:rsidTr="00D6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60F73" w:rsidRPr="00D60F73" w:rsidRDefault="00D60F73" w:rsidP="00341E97">
            <w:pPr>
              <w:autoSpaceDE w:val="0"/>
              <w:autoSpaceDN w:val="0"/>
              <w:adjustRightInd w:val="0"/>
              <w:rPr>
                <w:rFonts w:ascii="Arial" w:hAnsi="Arial" w:cs="Arial"/>
                <w:i/>
                <w:sz w:val="20"/>
              </w:rPr>
            </w:pPr>
            <w:r w:rsidRPr="00D60F73">
              <w:rPr>
                <w:rFonts w:ascii="Arial" w:hAnsi="Arial" w:cs="Arial"/>
                <w:i/>
                <w:sz w:val="20"/>
              </w:rPr>
              <w:t>Fatal/ Catastrophic</w:t>
            </w:r>
          </w:p>
        </w:tc>
        <w:tc>
          <w:tcPr>
            <w:tcW w:w="1275"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20% of either a Capital or Revenue budget.</w:t>
            </w:r>
          </w:p>
        </w:tc>
        <w:tc>
          <w:tcPr>
            <w:tcW w:w="1560"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Fatalities or severe permanent disabilities.</w:t>
            </w:r>
          </w:p>
        </w:tc>
        <w:tc>
          <w:tcPr>
            <w:tcW w:w="1275"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Complete loss of assets.</w:t>
            </w:r>
          </w:p>
        </w:tc>
        <w:tc>
          <w:tcPr>
            <w:tcW w:w="2268"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Interruption more than 1 month. Critical systems unavailable for more than a day (at a crucial time).</w:t>
            </w:r>
          </w:p>
        </w:tc>
        <w:tc>
          <w:tcPr>
            <w:tcW w:w="2552" w:type="dxa"/>
          </w:tcPr>
          <w:p w:rsidR="00D60F73" w:rsidRPr="00D60F73" w:rsidRDefault="00D60F73" w:rsidP="002070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 xml:space="preserve">Prolonged media campaign against the </w:t>
            </w:r>
            <w:r w:rsidR="002070F2">
              <w:rPr>
                <w:rFonts w:ascii="Arial" w:hAnsi="Arial" w:cs="Arial"/>
                <w:b/>
                <w:i/>
                <w:sz w:val="20"/>
              </w:rPr>
              <w:t>Group</w:t>
            </w:r>
            <w:r w:rsidRPr="00D60F73">
              <w:rPr>
                <w:rFonts w:ascii="Arial" w:hAnsi="Arial" w:cs="Arial"/>
                <w:b/>
                <w:i/>
                <w:sz w:val="20"/>
              </w:rPr>
              <w:t xml:space="preserve">. Story substantiated, publicly embarrassed with third party action and widespread news profile. </w:t>
            </w:r>
          </w:p>
        </w:tc>
        <w:tc>
          <w:tcPr>
            <w:tcW w:w="2551"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 xml:space="preserve">Unable to deliver organisational objectives. Widespread failure to meet housing and tenant needs. </w:t>
            </w:r>
          </w:p>
        </w:tc>
        <w:tc>
          <w:tcPr>
            <w:tcW w:w="1560" w:type="dxa"/>
          </w:tcPr>
          <w:p w:rsidR="00D60F73" w:rsidRPr="00D60F73" w:rsidRDefault="00D60F73" w:rsidP="00341E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i/>
                <w:sz w:val="20"/>
              </w:rPr>
            </w:pPr>
            <w:r w:rsidRPr="00D60F73">
              <w:rPr>
                <w:rFonts w:ascii="Arial" w:hAnsi="Arial" w:cs="Arial"/>
                <w:b/>
                <w:i/>
                <w:sz w:val="20"/>
              </w:rPr>
              <w:t xml:space="preserve">Management Committee intervenes. </w:t>
            </w:r>
          </w:p>
        </w:tc>
      </w:tr>
    </w:tbl>
    <w:p w:rsidR="004428A8" w:rsidRDefault="004428A8" w:rsidP="004428A8">
      <w:pPr>
        <w:pStyle w:val="Heading2"/>
        <w:spacing w:before="0"/>
        <w:rPr>
          <w:rFonts w:ascii="Arial" w:hAnsi="Arial" w:cs="Arial"/>
          <w:noProof/>
          <w:sz w:val="22"/>
          <w:szCs w:val="22"/>
          <w:lang w:eastAsia="en-GB"/>
        </w:rPr>
        <w:sectPr w:rsidR="004428A8" w:rsidSect="004525C0">
          <w:pgSz w:w="16838" w:h="11906" w:orient="landscape"/>
          <w:pgMar w:top="1440" w:right="1440" w:bottom="1440" w:left="1440" w:header="708" w:footer="708" w:gutter="0"/>
          <w:cols w:space="708"/>
          <w:docGrid w:linePitch="360"/>
        </w:sectPr>
      </w:pPr>
      <w:bookmarkStart w:id="9" w:name="_Toc414377651"/>
      <w:bookmarkStart w:id="10" w:name="_Toc479768221"/>
    </w:p>
    <w:p w:rsidR="004428A8" w:rsidRPr="00DD67F0" w:rsidRDefault="004428A8" w:rsidP="004428A8">
      <w:pPr>
        <w:pStyle w:val="Heading2"/>
        <w:spacing w:before="0"/>
        <w:rPr>
          <w:rFonts w:ascii="Arial" w:hAnsi="Arial" w:cs="Arial"/>
          <w:noProof/>
          <w:sz w:val="22"/>
          <w:szCs w:val="22"/>
          <w:lang w:eastAsia="en-GB"/>
        </w:rPr>
      </w:pPr>
      <w:r>
        <w:rPr>
          <w:rFonts w:ascii="Arial" w:hAnsi="Arial" w:cs="Arial"/>
          <w:noProof/>
          <w:sz w:val="22"/>
          <w:szCs w:val="22"/>
          <w:lang w:eastAsia="en-GB"/>
        </w:rPr>
        <w:lastRenderedPageBreak/>
        <w:t xml:space="preserve">Appendix 3 - </w:t>
      </w:r>
      <w:r w:rsidRPr="00DD67F0">
        <w:rPr>
          <w:rFonts w:ascii="Arial" w:hAnsi="Arial" w:cs="Arial"/>
          <w:noProof/>
          <w:sz w:val="22"/>
          <w:szCs w:val="22"/>
          <w:lang w:eastAsia="en-GB"/>
        </w:rPr>
        <w:t>Key Activities within the Risk Management Process</w:t>
      </w:r>
      <w:bookmarkEnd w:id="9"/>
      <w:bookmarkEnd w:id="10"/>
      <w:r w:rsidRPr="00DD67F0">
        <w:rPr>
          <w:rFonts w:ascii="Arial" w:hAnsi="Arial" w:cs="Arial"/>
          <w:noProof/>
          <w:sz w:val="22"/>
          <w:szCs w:val="22"/>
          <w:lang w:eastAsia="en-GB"/>
        </w:rPr>
        <w:t xml:space="preserve"> </w:t>
      </w:r>
    </w:p>
    <w:p w:rsidR="004428A8" w:rsidRPr="00DD67F0" w:rsidRDefault="004428A8" w:rsidP="004428A8">
      <w:pPr>
        <w:autoSpaceDE w:val="0"/>
        <w:autoSpaceDN w:val="0"/>
        <w:adjustRightInd w:val="0"/>
        <w:spacing w:after="0" w:line="240" w:lineRule="auto"/>
        <w:rPr>
          <w:rFonts w:ascii="Arial" w:hAnsi="Arial" w:cs="Arial"/>
        </w:rPr>
      </w:pPr>
    </w:p>
    <w:p w:rsidR="004428A8" w:rsidRPr="00DD67F0" w:rsidRDefault="004428A8" w:rsidP="004428A8">
      <w:pPr>
        <w:autoSpaceDE w:val="0"/>
        <w:autoSpaceDN w:val="0"/>
        <w:adjustRightInd w:val="0"/>
        <w:spacing w:after="0" w:line="240" w:lineRule="auto"/>
        <w:rPr>
          <w:rFonts w:ascii="Arial" w:hAnsi="Arial" w:cs="Arial"/>
        </w:rPr>
      </w:pPr>
      <w:r w:rsidRPr="00DD67F0">
        <w:rPr>
          <w:rFonts w:ascii="Arial" w:hAnsi="Arial" w:cs="Arial"/>
        </w:rPr>
        <w:t>Risk Management incorporates a number of elements that together facilitate an effective and efficient operation, enabling the Association to respond to a variety of operational, financial and commercial risks. These elements include:</w:t>
      </w:r>
    </w:p>
    <w:p w:rsidR="004428A8" w:rsidRPr="00DD67F0" w:rsidRDefault="004428A8" w:rsidP="004428A8">
      <w:pPr>
        <w:autoSpaceDE w:val="0"/>
        <w:autoSpaceDN w:val="0"/>
        <w:adjustRightInd w:val="0"/>
        <w:spacing w:after="0" w:line="240" w:lineRule="auto"/>
        <w:rPr>
          <w:rFonts w:ascii="Arial" w:hAnsi="Arial" w:cs="Arial"/>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196"/>
        <w:gridCol w:w="7046"/>
      </w:tblGrid>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Policies and Procedures</w:t>
            </w:r>
          </w:p>
        </w:tc>
        <w:tc>
          <w:tcPr>
            <w:tcW w:w="7341" w:type="dxa"/>
          </w:tcPr>
          <w:p w:rsidR="004428A8" w:rsidRPr="00DD67F0" w:rsidRDefault="004428A8" w:rsidP="002070F2">
            <w:pPr>
              <w:autoSpaceDE w:val="0"/>
              <w:autoSpaceDN w:val="0"/>
              <w:adjustRightInd w:val="0"/>
              <w:rPr>
                <w:rFonts w:ascii="Arial" w:hAnsi="Arial" w:cs="Arial"/>
              </w:rPr>
            </w:pPr>
            <w:r w:rsidRPr="00DD67F0">
              <w:rPr>
                <w:rFonts w:ascii="Arial" w:hAnsi="Arial" w:cs="Arial"/>
              </w:rPr>
              <w:t>Attached to key risks are a series of policies that underpin the internal control process. The policies are set by Management Committee and are implemented and disseminated throughout the Association by the Executive Management Team. Written guidance supports these policies.</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Monthly Reporting</w:t>
            </w:r>
          </w:p>
        </w:tc>
        <w:tc>
          <w:tcPr>
            <w:tcW w:w="7341" w:type="dxa"/>
          </w:tcPr>
          <w:p w:rsidR="004428A8" w:rsidRPr="00DD67F0" w:rsidRDefault="004428A8" w:rsidP="002070F2">
            <w:pPr>
              <w:autoSpaceDE w:val="0"/>
              <w:autoSpaceDN w:val="0"/>
              <w:adjustRightInd w:val="0"/>
              <w:rPr>
                <w:rFonts w:ascii="Arial" w:hAnsi="Arial" w:cs="Arial"/>
              </w:rPr>
            </w:pPr>
            <w:r w:rsidRPr="00DD67F0">
              <w:rPr>
                <w:rFonts w:ascii="Arial" w:hAnsi="Arial" w:cs="Arial"/>
              </w:rPr>
              <w:t xml:space="preserve">Comprehensive monthly reporting is designed to monitor key risks and their controls. Decisions to rectify problems are made at regular meetings of the Executive Management Team or by the Management Committee </w:t>
            </w:r>
            <w:r>
              <w:rPr>
                <w:rFonts w:ascii="Arial" w:hAnsi="Arial" w:cs="Arial"/>
              </w:rPr>
              <w:t xml:space="preserve">or Boards </w:t>
            </w:r>
            <w:r w:rsidRPr="00DD67F0">
              <w:rPr>
                <w:rFonts w:ascii="Arial" w:hAnsi="Arial" w:cs="Arial"/>
              </w:rPr>
              <w:t>as appropriate.</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Business Planning and Budgeting</w:t>
            </w:r>
          </w:p>
        </w:tc>
        <w:tc>
          <w:tcPr>
            <w:tcW w:w="7341" w:type="dxa"/>
          </w:tcPr>
          <w:p w:rsidR="004428A8" w:rsidRPr="00DD67F0" w:rsidRDefault="004428A8" w:rsidP="002070F2">
            <w:pPr>
              <w:autoSpaceDE w:val="0"/>
              <w:autoSpaceDN w:val="0"/>
              <w:adjustRightInd w:val="0"/>
              <w:rPr>
                <w:rFonts w:ascii="Arial" w:hAnsi="Arial" w:cs="Arial"/>
              </w:rPr>
            </w:pPr>
            <w:r w:rsidRPr="00DD67F0">
              <w:rPr>
                <w:rFonts w:ascii="Arial" w:hAnsi="Arial" w:cs="Arial"/>
              </w:rPr>
              <w:t xml:space="preserve">The business planning and budgeting process is used to set objectives, agree action plans and allocate resources. Progress towards meeting business plan objectives is monitored regularly by the Executive Management Team and Management Committee. The Association has the relevant funding in place to deliver its planned maintenance programme, meet its SHQS obligations, cover additional pension costs, etc. Therefore much of our financial risks have been carefully planned and significantly mitigated. The Association’s revised 30 year financial model has been tested and performs very well with scope to deal with unexpected events in future years. </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Risk Register</w:t>
            </w:r>
          </w:p>
        </w:tc>
        <w:tc>
          <w:tcPr>
            <w:tcW w:w="7341" w:type="dxa"/>
          </w:tcPr>
          <w:p w:rsidR="004428A8" w:rsidRPr="00DD67F0" w:rsidRDefault="004428A8" w:rsidP="002070F2">
            <w:pPr>
              <w:autoSpaceDE w:val="0"/>
              <w:autoSpaceDN w:val="0"/>
              <w:adjustRightInd w:val="0"/>
              <w:rPr>
                <w:rFonts w:ascii="Arial" w:hAnsi="Arial" w:cs="Arial"/>
              </w:rPr>
            </w:pPr>
            <w:r w:rsidRPr="00DD67F0">
              <w:rPr>
                <w:rFonts w:ascii="Arial" w:hAnsi="Arial" w:cs="Arial"/>
              </w:rPr>
              <w:t xml:space="preserve">The Risk Register is compiled by the Executive Management Team in liaison with Management Committee, and helps to facilitate the identification, assessment and ongoing monitoring of risks significant to the Association. The document is formally appraised annually but emerging risks are added as required. The Executive Management Team also reviews the document bi-annually. Improvement actions and risk indicators are monitored regularly. </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Department/ Team Framework</w:t>
            </w:r>
          </w:p>
        </w:tc>
        <w:tc>
          <w:tcPr>
            <w:tcW w:w="7341" w:type="dxa"/>
          </w:tcPr>
          <w:p w:rsidR="004428A8" w:rsidRPr="00DD67F0" w:rsidRDefault="004428A8" w:rsidP="002070F2">
            <w:pPr>
              <w:autoSpaceDE w:val="0"/>
              <w:autoSpaceDN w:val="0"/>
              <w:adjustRightInd w:val="0"/>
              <w:rPr>
                <w:rFonts w:ascii="Arial" w:hAnsi="Arial" w:cs="Arial"/>
              </w:rPr>
            </w:pPr>
            <w:r w:rsidRPr="00DD67F0">
              <w:rPr>
                <w:rFonts w:ascii="Arial" w:hAnsi="Arial" w:cs="Arial"/>
              </w:rPr>
              <w:t xml:space="preserve">Each departmental manager has their own monitoring framework to ensure that key risks within their department are identified, assessed and controlled. The framework is formally appraised annually and any emerging risks are contained as required. Reference is made to key performance indicators which allow the department to identify any improvement action that is required and to report to the Executive Management Team and Management Committee as appropriate. </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Internal Audit Programme</w:t>
            </w:r>
          </w:p>
        </w:tc>
        <w:tc>
          <w:tcPr>
            <w:tcW w:w="7341" w:type="dxa"/>
          </w:tcPr>
          <w:p w:rsidR="004428A8" w:rsidRPr="00DD67F0" w:rsidRDefault="004428A8" w:rsidP="0032548A">
            <w:pPr>
              <w:autoSpaceDE w:val="0"/>
              <w:autoSpaceDN w:val="0"/>
              <w:adjustRightInd w:val="0"/>
              <w:rPr>
                <w:rFonts w:ascii="Arial" w:hAnsi="Arial" w:cs="Arial"/>
              </w:rPr>
            </w:pPr>
            <w:r w:rsidRPr="00DD67F0">
              <w:rPr>
                <w:rFonts w:ascii="Arial" w:hAnsi="Arial" w:cs="Arial"/>
              </w:rPr>
              <w:t xml:space="preserve">Internal Audit is an important element in the internal control process as it provides assurance to management that controls are operating effectively and/or alerts management to any control weaknesses identified. Internal Audit is responsible for carrying out individual assignments to enable the delivery of proactive advice to Management Committee. The internal audit programme will address the key risks within the </w:t>
            </w:r>
            <w:r w:rsidR="0032548A">
              <w:rPr>
                <w:rFonts w:ascii="Arial" w:hAnsi="Arial" w:cs="Arial"/>
              </w:rPr>
              <w:t>Group</w:t>
            </w:r>
            <w:r w:rsidRPr="00DD67F0">
              <w:rPr>
                <w:rFonts w:ascii="Arial" w:hAnsi="Arial" w:cs="Arial"/>
              </w:rPr>
              <w:t>. Within an annual report to the Management Committee, the internal auditor shall provide a specific comment upon his/her annual review of the internal control system and their professional opinion on the effectiveness of the internal control system, and the extent to which it can be relied upon.</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External Audit</w:t>
            </w:r>
          </w:p>
        </w:tc>
        <w:tc>
          <w:tcPr>
            <w:tcW w:w="7341" w:type="dxa"/>
          </w:tcPr>
          <w:p w:rsidR="004428A8" w:rsidRPr="00DD67F0" w:rsidRDefault="004428A8" w:rsidP="0032548A">
            <w:pPr>
              <w:autoSpaceDE w:val="0"/>
              <w:autoSpaceDN w:val="0"/>
              <w:adjustRightInd w:val="0"/>
              <w:rPr>
                <w:rFonts w:ascii="Arial" w:hAnsi="Arial" w:cs="Arial"/>
              </w:rPr>
            </w:pPr>
            <w:r w:rsidRPr="00DD67F0">
              <w:rPr>
                <w:rFonts w:ascii="Arial" w:hAnsi="Arial" w:cs="Arial"/>
              </w:rPr>
              <w:t xml:space="preserve">External </w:t>
            </w:r>
            <w:r w:rsidR="0032548A">
              <w:rPr>
                <w:rFonts w:ascii="Arial" w:hAnsi="Arial" w:cs="Arial"/>
              </w:rPr>
              <w:t>Audit provides feedback to the A</w:t>
            </w:r>
            <w:r w:rsidRPr="00DD67F0">
              <w:rPr>
                <w:rFonts w:ascii="Arial" w:hAnsi="Arial" w:cs="Arial"/>
              </w:rPr>
              <w:t xml:space="preserve">udit </w:t>
            </w:r>
            <w:r w:rsidR="0032548A">
              <w:rPr>
                <w:rFonts w:ascii="Arial" w:hAnsi="Arial" w:cs="Arial"/>
              </w:rPr>
              <w:t>S</w:t>
            </w:r>
            <w:r w:rsidRPr="00DD67F0">
              <w:rPr>
                <w:rFonts w:ascii="Arial" w:hAnsi="Arial" w:cs="Arial"/>
              </w:rPr>
              <w:t>ub-</w:t>
            </w:r>
            <w:r w:rsidR="0032548A">
              <w:rPr>
                <w:rFonts w:ascii="Arial" w:hAnsi="Arial" w:cs="Arial"/>
              </w:rPr>
              <w:t>C</w:t>
            </w:r>
            <w:r w:rsidRPr="00DD67F0">
              <w:rPr>
                <w:rFonts w:ascii="Arial" w:hAnsi="Arial" w:cs="Arial"/>
              </w:rPr>
              <w:t xml:space="preserve">ommittee on the operation of those aspects of the internal control system reviewed as part of the annual audit. They shall also provide a comment on the general governance arrangements within the </w:t>
            </w:r>
            <w:r w:rsidR="0032548A">
              <w:rPr>
                <w:rFonts w:ascii="Arial" w:hAnsi="Arial" w:cs="Arial"/>
              </w:rPr>
              <w:t>Group</w:t>
            </w:r>
            <w:r w:rsidRPr="00DD67F0">
              <w:rPr>
                <w:rFonts w:ascii="Arial" w:hAnsi="Arial" w:cs="Arial"/>
              </w:rPr>
              <w:t>.</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lastRenderedPageBreak/>
              <w:t>Business Continuity Planning and Disaster Recovery</w:t>
            </w:r>
          </w:p>
        </w:tc>
        <w:tc>
          <w:tcPr>
            <w:tcW w:w="7341" w:type="dxa"/>
          </w:tcPr>
          <w:p w:rsidR="004428A8" w:rsidRPr="00DD67F0" w:rsidRDefault="004428A8" w:rsidP="0032548A">
            <w:pPr>
              <w:autoSpaceDE w:val="0"/>
              <w:autoSpaceDN w:val="0"/>
              <w:adjustRightInd w:val="0"/>
              <w:rPr>
                <w:rFonts w:ascii="Arial" w:hAnsi="Arial" w:cs="Arial"/>
              </w:rPr>
            </w:pPr>
            <w:r w:rsidRPr="00DD67F0">
              <w:rPr>
                <w:rFonts w:ascii="Arial" w:hAnsi="Arial" w:cs="Arial"/>
              </w:rPr>
              <w:t xml:space="preserve">Interruption of the </w:t>
            </w:r>
            <w:r w:rsidR="0032548A">
              <w:rPr>
                <w:rFonts w:ascii="Arial" w:hAnsi="Arial" w:cs="Arial"/>
              </w:rPr>
              <w:t>Group</w:t>
            </w:r>
            <w:r w:rsidRPr="00DD67F0">
              <w:rPr>
                <w:rFonts w:ascii="Arial" w:hAnsi="Arial" w:cs="Arial"/>
              </w:rPr>
              <w:t xml:space="preserve">’s business threatened by any emergency events will be avoided via the procedures of its disaster recovery plan. </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Third Party Reports</w:t>
            </w:r>
          </w:p>
        </w:tc>
        <w:tc>
          <w:tcPr>
            <w:tcW w:w="7341" w:type="dxa"/>
          </w:tcPr>
          <w:p w:rsidR="004428A8" w:rsidRPr="00DD67F0" w:rsidRDefault="004428A8" w:rsidP="002070F2">
            <w:pPr>
              <w:autoSpaceDE w:val="0"/>
              <w:autoSpaceDN w:val="0"/>
              <w:adjustRightInd w:val="0"/>
              <w:rPr>
                <w:rFonts w:ascii="Arial" w:hAnsi="Arial" w:cs="Arial"/>
              </w:rPr>
            </w:pPr>
            <w:r w:rsidRPr="00DD67F0">
              <w:rPr>
                <w:rFonts w:ascii="Arial" w:hAnsi="Arial" w:cs="Arial"/>
              </w:rPr>
              <w:t>From time to time the use of external consultants will be necessary in areas such as health and safety, development, and human resources. The use of specialist third parties for consulting and reporting can increase the reliability of the internal control system.</w:t>
            </w:r>
          </w:p>
        </w:tc>
      </w:tr>
      <w:tr w:rsidR="004428A8" w:rsidRPr="00DD67F0" w:rsidTr="004525C0">
        <w:tc>
          <w:tcPr>
            <w:tcW w:w="2235" w:type="dxa"/>
          </w:tcPr>
          <w:p w:rsidR="004428A8" w:rsidRPr="00DD67F0" w:rsidRDefault="004428A8" w:rsidP="002070F2">
            <w:pPr>
              <w:autoSpaceDE w:val="0"/>
              <w:autoSpaceDN w:val="0"/>
              <w:adjustRightInd w:val="0"/>
              <w:rPr>
                <w:rFonts w:ascii="Arial" w:hAnsi="Arial" w:cs="Arial"/>
                <w:b/>
              </w:rPr>
            </w:pPr>
            <w:r w:rsidRPr="00DD67F0">
              <w:rPr>
                <w:rFonts w:ascii="Arial" w:hAnsi="Arial" w:cs="Arial"/>
                <w:b/>
              </w:rPr>
              <w:t>Scottish Housing Regulator (SHR)</w:t>
            </w:r>
          </w:p>
        </w:tc>
        <w:tc>
          <w:tcPr>
            <w:tcW w:w="7341" w:type="dxa"/>
          </w:tcPr>
          <w:p w:rsidR="004428A8" w:rsidRPr="00DD67F0" w:rsidRDefault="004428A8" w:rsidP="0032548A">
            <w:pPr>
              <w:autoSpaceDE w:val="0"/>
              <w:autoSpaceDN w:val="0"/>
              <w:adjustRightInd w:val="0"/>
              <w:rPr>
                <w:rFonts w:ascii="Arial" w:hAnsi="Arial" w:cs="Arial"/>
              </w:rPr>
            </w:pPr>
            <w:r w:rsidRPr="00DD67F0">
              <w:rPr>
                <w:rFonts w:ascii="Arial" w:hAnsi="Arial" w:cs="Arial"/>
              </w:rPr>
              <w:t xml:space="preserve">The SHR issued a Regulatory Advice Note highlighting emerging risks for Housing Associations in November 2013. The Association’s business planning and risk register deals with those emerging risks that may affect the Association. The Regulatory Advice Note sets out expectations as to how Registered Social Landlords (RSLs) should comply with Regulatory Standard 3. This requires the governing body of each RSL to manage its resources to ensure financial well-being and economic effectiveness. </w:t>
            </w:r>
          </w:p>
        </w:tc>
      </w:tr>
    </w:tbl>
    <w:p w:rsidR="00D60F73" w:rsidRPr="00D60F73" w:rsidRDefault="00D60F73" w:rsidP="00DC0CC1">
      <w:pPr>
        <w:rPr>
          <w:rFonts w:ascii="Arial" w:hAnsi="Arial" w:cs="Arial"/>
          <w:b/>
        </w:rPr>
      </w:pPr>
    </w:p>
    <w:sectPr w:rsidR="00D60F73" w:rsidRPr="00D60F73" w:rsidSect="004525C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F2" w:rsidRDefault="002070F2" w:rsidP="00DD67F0">
      <w:pPr>
        <w:spacing w:after="0" w:line="240" w:lineRule="auto"/>
      </w:pPr>
      <w:r>
        <w:separator/>
      </w:r>
    </w:p>
  </w:endnote>
  <w:endnote w:type="continuationSeparator" w:id="0">
    <w:p w:rsidR="002070F2" w:rsidRDefault="002070F2" w:rsidP="00DD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898904"/>
      <w:docPartObj>
        <w:docPartGallery w:val="Page Numbers (Bottom of Page)"/>
        <w:docPartUnique/>
      </w:docPartObj>
    </w:sdtPr>
    <w:sdtEndPr>
      <w:rPr>
        <w:noProof/>
      </w:rPr>
    </w:sdtEndPr>
    <w:sdtContent>
      <w:p w:rsidR="002070F2" w:rsidRDefault="002070F2">
        <w:pPr>
          <w:pStyle w:val="Footer"/>
          <w:jc w:val="center"/>
        </w:pPr>
        <w:r>
          <w:fldChar w:fldCharType="begin"/>
        </w:r>
        <w:r>
          <w:instrText xml:space="preserve"> PAGE   \* MERGEFORMAT </w:instrText>
        </w:r>
        <w:r>
          <w:fldChar w:fldCharType="separate"/>
        </w:r>
        <w:r w:rsidR="0052788A">
          <w:rPr>
            <w:noProof/>
          </w:rPr>
          <w:t>21</w:t>
        </w:r>
        <w:r>
          <w:rPr>
            <w:noProof/>
          </w:rPr>
          <w:fldChar w:fldCharType="end"/>
        </w:r>
      </w:p>
    </w:sdtContent>
  </w:sdt>
  <w:p w:rsidR="002070F2" w:rsidRDefault="0020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F2" w:rsidRDefault="002070F2" w:rsidP="00DD67F0">
      <w:pPr>
        <w:spacing w:after="0" w:line="240" w:lineRule="auto"/>
      </w:pPr>
      <w:r>
        <w:separator/>
      </w:r>
    </w:p>
  </w:footnote>
  <w:footnote w:type="continuationSeparator" w:id="0">
    <w:p w:rsidR="002070F2" w:rsidRDefault="002070F2" w:rsidP="00DD6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28A"/>
    <w:multiLevelType w:val="multilevel"/>
    <w:tmpl w:val="8D92C22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275E19"/>
    <w:multiLevelType w:val="hybridMultilevel"/>
    <w:tmpl w:val="CACEBB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5A1434"/>
    <w:multiLevelType w:val="multilevel"/>
    <w:tmpl w:val="756636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1122D0"/>
    <w:multiLevelType w:val="hybridMultilevel"/>
    <w:tmpl w:val="8A8CBC20"/>
    <w:lvl w:ilvl="0" w:tplc="6D084C2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13F5B76"/>
    <w:multiLevelType w:val="multilevel"/>
    <w:tmpl w:val="D0A4C8F2"/>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AEF6FBF"/>
    <w:multiLevelType w:val="hybridMultilevel"/>
    <w:tmpl w:val="83D606D6"/>
    <w:lvl w:ilvl="0" w:tplc="6D084C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0A641D3"/>
    <w:multiLevelType w:val="hybridMultilevel"/>
    <w:tmpl w:val="DE7A6F9E"/>
    <w:lvl w:ilvl="0" w:tplc="859892B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151583E"/>
    <w:multiLevelType w:val="hybridMultilevel"/>
    <w:tmpl w:val="0EE25D62"/>
    <w:lvl w:ilvl="0" w:tplc="6C2AF2F4">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A830058"/>
    <w:multiLevelType w:val="multilevel"/>
    <w:tmpl w:val="1BCEF770"/>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71BD2061"/>
    <w:multiLevelType w:val="hybridMultilevel"/>
    <w:tmpl w:val="7E225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CD26BD"/>
    <w:multiLevelType w:val="hybridMultilevel"/>
    <w:tmpl w:val="BAC0D756"/>
    <w:lvl w:ilvl="0" w:tplc="6D084C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1"/>
  </w:num>
  <w:num w:numId="5">
    <w:abstractNumId w:val="8"/>
  </w:num>
  <w:num w:numId="6">
    <w:abstractNumId w:val="7"/>
  </w:num>
  <w:num w:numId="7">
    <w:abstractNumId w:val="6"/>
  </w:num>
  <w:num w:numId="8">
    <w:abstractNumId w:val="0"/>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F0"/>
    <w:rsid w:val="00014AB8"/>
    <w:rsid w:val="000626C1"/>
    <w:rsid w:val="00091C62"/>
    <w:rsid w:val="00152AAA"/>
    <w:rsid w:val="00194BAB"/>
    <w:rsid w:val="002070F2"/>
    <w:rsid w:val="002C44C6"/>
    <w:rsid w:val="0032548A"/>
    <w:rsid w:val="00341E97"/>
    <w:rsid w:val="004428A8"/>
    <w:rsid w:val="004525C0"/>
    <w:rsid w:val="004A511A"/>
    <w:rsid w:val="0052788A"/>
    <w:rsid w:val="00644B14"/>
    <w:rsid w:val="00650CDF"/>
    <w:rsid w:val="00723D4D"/>
    <w:rsid w:val="007373FF"/>
    <w:rsid w:val="0077778B"/>
    <w:rsid w:val="00981BC2"/>
    <w:rsid w:val="00A96F50"/>
    <w:rsid w:val="00AC5215"/>
    <w:rsid w:val="00D60F73"/>
    <w:rsid w:val="00D624E9"/>
    <w:rsid w:val="00DC0CC1"/>
    <w:rsid w:val="00DD0D07"/>
    <w:rsid w:val="00DD67F0"/>
    <w:rsid w:val="00DE12F8"/>
    <w:rsid w:val="00E31356"/>
    <w:rsid w:val="00E916CB"/>
    <w:rsid w:val="00F15841"/>
    <w:rsid w:val="00F9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F0"/>
  </w:style>
  <w:style w:type="paragraph" w:styleId="Heading1">
    <w:name w:val="heading 1"/>
    <w:basedOn w:val="Normal"/>
    <w:next w:val="Normal"/>
    <w:link w:val="Heading1Char"/>
    <w:uiPriority w:val="9"/>
    <w:qFormat/>
    <w:rsid w:val="00DD6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F0"/>
    <w:rPr>
      <w:rFonts w:ascii="Tahoma" w:hAnsi="Tahoma" w:cs="Tahoma"/>
      <w:sz w:val="16"/>
      <w:szCs w:val="16"/>
    </w:rPr>
  </w:style>
  <w:style w:type="paragraph" w:styleId="Header">
    <w:name w:val="header"/>
    <w:basedOn w:val="Normal"/>
    <w:link w:val="HeaderChar"/>
    <w:uiPriority w:val="99"/>
    <w:unhideWhenUsed/>
    <w:rsid w:val="00DD6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F0"/>
  </w:style>
  <w:style w:type="paragraph" w:styleId="Footer">
    <w:name w:val="footer"/>
    <w:basedOn w:val="Normal"/>
    <w:link w:val="FooterChar"/>
    <w:uiPriority w:val="99"/>
    <w:unhideWhenUsed/>
    <w:rsid w:val="00DD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7F0"/>
  </w:style>
  <w:style w:type="character" w:customStyle="1" w:styleId="Heading2Char">
    <w:name w:val="Heading 2 Char"/>
    <w:basedOn w:val="DefaultParagraphFont"/>
    <w:link w:val="Heading2"/>
    <w:uiPriority w:val="9"/>
    <w:rsid w:val="00DD67F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DD67F0"/>
    <w:pPr>
      <w:ind w:left="720"/>
      <w:contextualSpacing/>
    </w:pPr>
  </w:style>
  <w:style w:type="table" w:styleId="LightGrid-Accent1">
    <w:name w:val="Light Grid Accent 1"/>
    <w:basedOn w:val="TableNormal"/>
    <w:uiPriority w:val="62"/>
    <w:rsid w:val="00DD67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D67F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67F0"/>
    <w:pPr>
      <w:outlineLvl w:val="9"/>
    </w:pPr>
    <w:rPr>
      <w:lang w:val="en-US" w:eastAsia="ja-JP"/>
    </w:rPr>
  </w:style>
  <w:style w:type="paragraph" w:styleId="TOC2">
    <w:name w:val="toc 2"/>
    <w:basedOn w:val="Normal"/>
    <w:next w:val="Normal"/>
    <w:autoRedefine/>
    <w:uiPriority w:val="39"/>
    <w:unhideWhenUsed/>
    <w:rsid w:val="00DD67F0"/>
    <w:pPr>
      <w:spacing w:after="100"/>
      <w:ind w:left="220"/>
    </w:pPr>
  </w:style>
  <w:style w:type="character" w:styleId="Hyperlink">
    <w:name w:val="Hyperlink"/>
    <w:basedOn w:val="DefaultParagraphFont"/>
    <w:uiPriority w:val="99"/>
    <w:unhideWhenUsed/>
    <w:rsid w:val="00DD6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F0"/>
  </w:style>
  <w:style w:type="paragraph" w:styleId="Heading1">
    <w:name w:val="heading 1"/>
    <w:basedOn w:val="Normal"/>
    <w:next w:val="Normal"/>
    <w:link w:val="Heading1Char"/>
    <w:uiPriority w:val="9"/>
    <w:qFormat/>
    <w:rsid w:val="00DD6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F0"/>
    <w:rPr>
      <w:rFonts w:ascii="Tahoma" w:hAnsi="Tahoma" w:cs="Tahoma"/>
      <w:sz w:val="16"/>
      <w:szCs w:val="16"/>
    </w:rPr>
  </w:style>
  <w:style w:type="paragraph" w:styleId="Header">
    <w:name w:val="header"/>
    <w:basedOn w:val="Normal"/>
    <w:link w:val="HeaderChar"/>
    <w:uiPriority w:val="99"/>
    <w:unhideWhenUsed/>
    <w:rsid w:val="00DD6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7F0"/>
  </w:style>
  <w:style w:type="paragraph" w:styleId="Footer">
    <w:name w:val="footer"/>
    <w:basedOn w:val="Normal"/>
    <w:link w:val="FooterChar"/>
    <w:uiPriority w:val="99"/>
    <w:unhideWhenUsed/>
    <w:rsid w:val="00DD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7F0"/>
  </w:style>
  <w:style w:type="character" w:customStyle="1" w:styleId="Heading2Char">
    <w:name w:val="Heading 2 Char"/>
    <w:basedOn w:val="DefaultParagraphFont"/>
    <w:link w:val="Heading2"/>
    <w:uiPriority w:val="9"/>
    <w:rsid w:val="00DD67F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DD67F0"/>
    <w:pPr>
      <w:ind w:left="720"/>
      <w:contextualSpacing/>
    </w:pPr>
  </w:style>
  <w:style w:type="table" w:styleId="LightGrid-Accent1">
    <w:name w:val="Light Grid Accent 1"/>
    <w:basedOn w:val="TableNormal"/>
    <w:uiPriority w:val="62"/>
    <w:rsid w:val="00DD67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D67F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67F0"/>
    <w:pPr>
      <w:outlineLvl w:val="9"/>
    </w:pPr>
    <w:rPr>
      <w:lang w:val="en-US" w:eastAsia="ja-JP"/>
    </w:rPr>
  </w:style>
  <w:style w:type="paragraph" w:styleId="TOC2">
    <w:name w:val="toc 2"/>
    <w:basedOn w:val="Normal"/>
    <w:next w:val="Normal"/>
    <w:autoRedefine/>
    <w:uiPriority w:val="39"/>
    <w:unhideWhenUsed/>
    <w:rsid w:val="00DD67F0"/>
    <w:pPr>
      <w:spacing w:after="100"/>
      <w:ind w:left="220"/>
    </w:pPr>
  </w:style>
  <w:style w:type="character" w:styleId="Hyperlink">
    <w:name w:val="Hyperlink"/>
    <w:basedOn w:val="DefaultParagraphFont"/>
    <w:uiPriority w:val="99"/>
    <w:unhideWhenUsed/>
    <w:rsid w:val="00DD6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6921">
      <w:bodyDiv w:val="1"/>
      <w:marLeft w:val="0"/>
      <w:marRight w:val="0"/>
      <w:marTop w:val="0"/>
      <w:marBottom w:val="0"/>
      <w:divBdr>
        <w:top w:val="none" w:sz="0" w:space="0" w:color="auto"/>
        <w:left w:val="none" w:sz="0" w:space="0" w:color="auto"/>
        <w:bottom w:val="none" w:sz="0" w:space="0" w:color="auto"/>
        <w:right w:val="none" w:sz="0" w:space="0" w:color="auto"/>
      </w:divBdr>
      <w:divsChild>
        <w:div w:id="10573603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E86569-1C55-4CD0-A9D2-3E82E142D173}" type="doc">
      <dgm:prSet loTypeId="urn:microsoft.com/office/officeart/2005/8/layout/hProcess9" loCatId="process" qsTypeId="urn:microsoft.com/office/officeart/2005/8/quickstyle/simple1" qsCatId="simple" csTypeId="urn:microsoft.com/office/officeart/2005/8/colors/accent1_2" csCatId="accent1" phldr="1"/>
      <dgm:spPr/>
    </dgm:pt>
    <dgm:pt modelId="{83680EA0-3A1A-4D7C-88C4-0F685EF244AB}">
      <dgm:prSet phldrT="[Text]"/>
      <dgm:spPr/>
      <dgm:t>
        <a:bodyPr/>
        <a:lstStyle/>
        <a:p>
          <a:r>
            <a:rPr lang="en-GB" b="1"/>
            <a:t>Assess</a:t>
          </a:r>
        </a:p>
        <a:p>
          <a:r>
            <a:rPr lang="en-GB" b="0"/>
            <a:t>Identify important </a:t>
          </a:r>
          <a:r>
            <a:rPr lang="en-GB"/>
            <a:t>parts of the business - service, staff, finance, etc.</a:t>
          </a:r>
        </a:p>
      </dgm:t>
    </dgm:pt>
    <dgm:pt modelId="{CCBEE27A-7C42-470A-9DAE-2FB01AE01742}" type="parTrans" cxnId="{D38ED046-A6AB-4CE3-9E94-FC4162D4D242}">
      <dgm:prSet/>
      <dgm:spPr/>
      <dgm:t>
        <a:bodyPr/>
        <a:lstStyle/>
        <a:p>
          <a:endParaRPr lang="en-GB"/>
        </a:p>
      </dgm:t>
    </dgm:pt>
    <dgm:pt modelId="{56473E40-5FD6-4E6C-80B8-120F93A211F8}" type="sibTrans" cxnId="{D38ED046-A6AB-4CE3-9E94-FC4162D4D242}">
      <dgm:prSet/>
      <dgm:spPr/>
      <dgm:t>
        <a:bodyPr/>
        <a:lstStyle/>
        <a:p>
          <a:endParaRPr lang="en-GB"/>
        </a:p>
      </dgm:t>
    </dgm:pt>
    <dgm:pt modelId="{21589DD0-7A25-4828-849C-E7E5579FC42C}">
      <dgm:prSet phldrT="[Text]"/>
      <dgm:spPr/>
      <dgm:t>
        <a:bodyPr/>
        <a:lstStyle/>
        <a:p>
          <a:r>
            <a:rPr lang="en-GB" b="1"/>
            <a:t>Evaluate </a:t>
          </a:r>
        </a:p>
        <a:p>
          <a:r>
            <a:rPr lang="en-GB"/>
            <a:t>Consider what risks each of these face and are they operational or external. Controlled in a document called the Risk Register (see Appendix 2).</a:t>
          </a:r>
        </a:p>
      </dgm:t>
    </dgm:pt>
    <dgm:pt modelId="{4CB33961-9511-4B58-BDCC-A9C45232AC70}" type="parTrans" cxnId="{91DC36E6-42D0-436E-AEE1-CC323A2C2B74}">
      <dgm:prSet/>
      <dgm:spPr/>
      <dgm:t>
        <a:bodyPr/>
        <a:lstStyle/>
        <a:p>
          <a:endParaRPr lang="en-GB"/>
        </a:p>
      </dgm:t>
    </dgm:pt>
    <dgm:pt modelId="{3E90D04C-3B30-4C10-B4F4-BEF655DA8788}" type="sibTrans" cxnId="{91DC36E6-42D0-436E-AEE1-CC323A2C2B74}">
      <dgm:prSet/>
      <dgm:spPr/>
      <dgm:t>
        <a:bodyPr/>
        <a:lstStyle/>
        <a:p>
          <a:endParaRPr lang="en-GB"/>
        </a:p>
      </dgm:t>
    </dgm:pt>
    <dgm:pt modelId="{E7C8C600-36E6-4398-90F8-E90B9A300EC5}">
      <dgm:prSet phldrT="[Text]"/>
      <dgm:spPr/>
      <dgm:t>
        <a:bodyPr/>
        <a:lstStyle/>
        <a:p>
          <a:r>
            <a:rPr lang="en-GB" b="1"/>
            <a:t>Manage </a:t>
          </a:r>
        </a:p>
        <a:p>
          <a:r>
            <a:rPr lang="en-GB"/>
            <a:t>What can we do to minimise the risk?</a:t>
          </a:r>
        </a:p>
      </dgm:t>
    </dgm:pt>
    <dgm:pt modelId="{875C2622-55D5-4BC0-9A35-ADCCE7A7DB09}" type="parTrans" cxnId="{1FEA7CDF-C499-484D-8EFE-62A95A1C72BD}">
      <dgm:prSet/>
      <dgm:spPr/>
      <dgm:t>
        <a:bodyPr/>
        <a:lstStyle/>
        <a:p>
          <a:endParaRPr lang="en-GB"/>
        </a:p>
      </dgm:t>
    </dgm:pt>
    <dgm:pt modelId="{B086676A-CA56-4625-AF9E-CE759D03950E}" type="sibTrans" cxnId="{1FEA7CDF-C499-484D-8EFE-62A95A1C72BD}">
      <dgm:prSet/>
      <dgm:spPr/>
      <dgm:t>
        <a:bodyPr/>
        <a:lstStyle/>
        <a:p>
          <a:endParaRPr lang="en-GB"/>
        </a:p>
      </dgm:t>
    </dgm:pt>
    <dgm:pt modelId="{7C3A0A3F-DDF4-4F85-B4CA-0987D1946B17}">
      <dgm:prSet phldrT="[Text]"/>
      <dgm:spPr/>
      <dgm:t>
        <a:bodyPr/>
        <a:lstStyle/>
        <a:p>
          <a:r>
            <a:rPr lang="en-GB" b="1"/>
            <a:t>Measure</a:t>
          </a:r>
        </a:p>
        <a:p>
          <a:r>
            <a:rPr lang="en-GB"/>
            <a:t>Score the risk.</a:t>
          </a:r>
        </a:p>
      </dgm:t>
    </dgm:pt>
    <dgm:pt modelId="{E7DD7008-8573-482D-94BC-63D97DAC22BC}" type="parTrans" cxnId="{CAB7FEBC-3325-410C-AE62-DB3EA37E04E6}">
      <dgm:prSet/>
      <dgm:spPr/>
      <dgm:t>
        <a:bodyPr/>
        <a:lstStyle/>
        <a:p>
          <a:endParaRPr lang="en-GB"/>
        </a:p>
      </dgm:t>
    </dgm:pt>
    <dgm:pt modelId="{E4BEE2A6-0DF3-4AB6-B111-3B07002B32A4}" type="sibTrans" cxnId="{CAB7FEBC-3325-410C-AE62-DB3EA37E04E6}">
      <dgm:prSet/>
      <dgm:spPr/>
      <dgm:t>
        <a:bodyPr/>
        <a:lstStyle/>
        <a:p>
          <a:endParaRPr lang="en-GB"/>
        </a:p>
      </dgm:t>
    </dgm:pt>
    <dgm:pt modelId="{288AAD0A-964C-44FF-B254-E72F9C9F4126}" type="pres">
      <dgm:prSet presAssocID="{97E86569-1C55-4CD0-A9D2-3E82E142D173}" presName="CompostProcess" presStyleCnt="0">
        <dgm:presLayoutVars>
          <dgm:dir/>
          <dgm:resizeHandles val="exact"/>
        </dgm:presLayoutVars>
      </dgm:prSet>
      <dgm:spPr/>
    </dgm:pt>
    <dgm:pt modelId="{88068AAA-DE73-425F-99A1-6F8D96DECC19}" type="pres">
      <dgm:prSet presAssocID="{97E86569-1C55-4CD0-A9D2-3E82E142D173}" presName="arrow" presStyleLbl="bgShp" presStyleIdx="0" presStyleCnt="1"/>
      <dgm:spPr/>
    </dgm:pt>
    <dgm:pt modelId="{F3AEDCD1-ADFF-42F9-B3AC-02BF419E4E24}" type="pres">
      <dgm:prSet presAssocID="{97E86569-1C55-4CD0-A9D2-3E82E142D173}" presName="linearProcess" presStyleCnt="0"/>
      <dgm:spPr/>
    </dgm:pt>
    <dgm:pt modelId="{1FDD477E-0856-4796-B15B-0CF48731F023}" type="pres">
      <dgm:prSet presAssocID="{83680EA0-3A1A-4D7C-88C4-0F685EF244AB}" presName="textNode" presStyleLbl="node1" presStyleIdx="0" presStyleCnt="4">
        <dgm:presLayoutVars>
          <dgm:bulletEnabled val="1"/>
        </dgm:presLayoutVars>
      </dgm:prSet>
      <dgm:spPr/>
      <dgm:t>
        <a:bodyPr/>
        <a:lstStyle/>
        <a:p>
          <a:endParaRPr lang="en-GB"/>
        </a:p>
      </dgm:t>
    </dgm:pt>
    <dgm:pt modelId="{9372012B-054B-4508-BAC7-C265B1F65DA1}" type="pres">
      <dgm:prSet presAssocID="{56473E40-5FD6-4E6C-80B8-120F93A211F8}" presName="sibTrans" presStyleCnt="0"/>
      <dgm:spPr/>
    </dgm:pt>
    <dgm:pt modelId="{7CA12A75-82EF-45AD-B62A-388EED3CD87D}" type="pres">
      <dgm:prSet presAssocID="{21589DD0-7A25-4828-849C-E7E5579FC42C}" presName="textNode" presStyleLbl="node1" presStyleIdx="1" presStyleCnt="4">
        <dgm:presLayoutVars>
          <dgm:bulletEnabled val="1"/>
        </dgm:presLayoutVars>
      </dgm:prSet>
      <dgm:spPr/>
      <dgm:t>
        <a:bodyPr/>
        <a:lstStyle/>
        <a:p>
          <a:endParaRPr lang="en-GB"/>
        </a:p>
      </dgm:t>
    </dgm:pt>
    <dgm:pt modelId="{FE08B933-6EAD-46DD-B3C4-697701993C64}" type="pres">
      <dgm:prSet presAssocID="{3E90D04C-3B30-4C10-B4F4-BEF655DA8788}" presName="sibTrans" presStyleCnt="0"/>
      <dgm:spPr/>
    </dgm:pt>
    <dgm:pt modelId="{70E7FA96-11F2-45AA-AB61-43812D3699A9}" type="pres">
      <dgm:prSet presAssocID="{E7C8C600-36E6-4398-90F8-E90B9A300EC5}" presName="textNode" presStyleLbl="node1" presStyleIdx="2" presStyleCnt="4">
        <dgm:presLayoutVars>
          <dgm:bulletEnabled val="1"/>
        </dgm:presLayoutVars>
      </dgm:prSet>
      <dgm:spPr/>
      <dgm:t>
        <a:bodyPr/>
        <a:lstStyle/>
        <a:p>
          <a:endParaRPr lang="en-GB"/>
        </a:p>
      </dgm:t>
    </dgm:pt>
    <dgm:pt modelId="{D9326A62-A041-4AAB-B3FB-A3728EB13442}" type="pres">
      <dgm:prSet presAssocID="{B086676A-CA56-4625-AF9E-CE759D03950E}" presName="sibTrans" presStyleCnt="0"/>
      <dgm:spPr/>
    </dgm:pt>
    <dgm:pt modelId="{166E8267-F1AF-4372-B682-C45BC88F09B4}" type="pres">
      <dgm:prSet presAssocID="{7C3A0A3F-DDF4-4F85-B4CA-0987D1946B17}" presName="textNode" presStyleLbl="node1" presStyleIdx="3" presStyleCnt="4" custLinFactNeighborX="86545">
        <dgm:presLayoutVars>
          <dgm:bulletEnabled val="1"/>
        </dgm:presLayoutVars>
      </dgm:prSet>
      <dgm:spPr/>
      <dgm:t>
        <a:bodyPr/>
        <a:lstStyle/>
        <a:p>
          <a:endParaRPr lang="en-GB"/>
        </a:p>
      </dgm:t>
    </dgm:pt>
  </dgm:ptLst>
  <dgm:cxnLst>
    <dgm:cxn modelId="{CAB7FEBC-3325-410C-AE62-DB3EA37E04E6}" srcId="{97E86569-1C55-4CD0-A9D2-3E82E142D173}" destId="{7C3A0A3F-DDF4-4F85-B4CA-0987D1946B17}" srcOrd="3" destOrd="0" parTransId="{E7DD7008-8573-482D-94BC-63D97DAC22BC}" sibTransId="{E4BEE2A6-0DF3-4AB6-B111-3B07002B32A4}"/>
    <dgm:cxn modelId="{91DC36E6-42D0-436E-AEE1-CC323A2C2B74}" srcId="{97E86569-1C55-4CD0-A9D2-3E82E142D173}" destId="{21589DD0-7A25-4828-849C-E7E5579FC42C}" srcOrd="1" destOrd="0" parTransId="{4CB33961-9511-4B58-BDCC-A9C45232AC70}" sibTransId="{3E90D04C-3B30-4C10-B4F4-BEF655DA8788}"/>
    <dgm:cxn modelId="{0A36657C-E670-4F7D-823A-617FA8318FD8}" type="presOf" srcId="{21589DD0-7A25-4828-849C-E7E5579FC42C}" destId="{7CA12A75-82EF-45AD-B62A-388EED3CD87D}" srcOrd="0" destOrd="0" presId="urn:microsoft.com/office/officeart/2005/8/layout/hProcess9"/>
    <dgm:cxn modelId="{1FEA7CDF-C499-484D-8EFE-62A95A1C72BD}" srcId="{97E86569-1C55-4CD0-A9D2-3E82E142D173}" destId="{E7C8C600-36E6-4398-90F8-E90B9A300EC5}" srcOrd="2" destOrd="0" parTransId="{875C2622-55D5-4BC0-9A35-ADCCE7A7DB09}" sibTransId="{B086676A-CA56-4625-AF9E-CE759D03950E}"/>
    <dgm:cxn modelId="{35FA708D-2A4A-46A3-9D86-4695A18FFCB2}" type="presOf" srcId="{97E86569-1C55-4CD0-A9D2-3E82E142D173}" destId="{288AAD0A-964C-44FF-B254-E72F9C9F4126}" srcOrd="0" destOrd="0" presId="urn:microsoft.com/office/officeart/2005/8/layout/hProcess9"/>
    <dgm:cxn modelId="{1F48286F-1DA2-4722-A761-B502A9AA4A45}" type="presOf" srcId="{83680EA0-3A1A-4D7C-88C4-0F685EF244AB}" destId="{1FDD477E-0856-4796-B15B-0CF48731F023}" srcOrd="0" destOrd="0" presId="urn:microsoft.com/office/officeart/2005/8/layout/hProcess9"/>
    <dgm:cxn modelId="{474CC2FE-3B48-49D0-87BA-DB7880A893E3}" type="presOf" srcId="{E7C8C600-36E6-4398-90F8-E90B9A300EC5}" destId="{70E7FA96-11F2-45AA-AB61-43812D3699A9}" srcOrd="0" destOrd="0" presId="urn:microsoft.com/office/officeart/2005/8/layout/hProcess9"/>
    <dgm:cxn modelId="{A30922D1-B75C-480A-B926-619C0019B275}" type="presOf" srcId="{7C3A0A3F-DDF4-4F85-B4CA-0987D1946B17}" destId="{166E8267-F1AF-4372-B682-C45BC88F09B4}" srcOrd="0" destOrd="0" presId="urn:microsoft.com/office/officeart/2005/8/layout/hProcess9"/>
    <dgm:cxn modelId="{D38ED046-A6AB-4CE3-9E94-FC4162D4D242}" srcId="{97E86569-1C55-4CD0-A9D2-3E82E142D173}" destId="{83680EA0-3A1A-4D7C-88C4-0F685EF244AB}" srcOrd="0" destOrd="0" parTransId="{CCBEE27A-7C42-470A-9DAE-2FB01AE01742}" sibTransId="{56473E40-5FD6-4E6C-80B8-120F93A211F8}"/>
    <dgm:cxn modelId="{AE95F07B-D602-421B-A676-15253190A056}" type="presParOf" srcId="{288AAD0A-964C-44FF-B254-E72F9C9F4126}" destId="{88068AAA-DE73-425F-99A1-6F8D96DECC19}" srcOrd="0" destOrd="0" presId="urn:microsoft.com/office/officeart/2005/8/layout/hProcess9"/>
    <dgm:cxn modelId="{3A975CB1-9A24-428E-AA22-666387F3F00E}" type="presParOf" srcId="{288AAD0A-964C-44FF-B254-E72F9C9F4126}" destId="{F3AEDCD1-ADFF-42F9-B3AC-02BF419E4E24}" srcOrd="1" destOrd="0" presId="urn:microsoft.com/office/officeart/2005/8/layout/hProcess9"/>
    <dgm:cxn modelId="{21D4CDED-EDE7-4F05-BF9D-3AC0F5011E89}" type="presParOf" srcId="{F3AEDCD1-ADFF-42F9-B3AC-02BF419E4E24}" destId="{1FDD477E-0856-4796-B15B-0CF48731F023}" srcOrd="0" destOrd="0" presId="urn:microsoft.com/office/officeart/2005/8/layout/hProcess9"/>
    <dgm:cxn modelId="{F9E2AECD-871D-4F47-A545-FC89873D2A8A}" type="presParOf" srcId="{F3AEDCD1-ADFF-42F9-B3AC-02BF419E4E24}" destId="{9372012B-054B-4508-BAC7-C265B1F65DA1}" srcOrd="1" destOrd="0" presId="urn:microsoft.com/office/officeart/2005/8/layout/hProcess9"/>
    <dgm:cxn modelId="{8A54A4AF-5CE1-4C61-9B64-EAA7FECAAB58}" type="presParOf" srcId="{F3AEDCD1-ADFF-42F9-B3AC-02BF419E4E24}" destId="{7CA12A75-82EF-45AD-B62A-388EED3CD87D}" srcOrd="2" destOrd="0" presId="urn:microsoft.com/office/officeart/2005/8/layout/hProcess9"/>
    <dgm:cxn modelId="{A2931965-5DAC-483A-9CE1-D0FBBEAB67AE}" type="presParOf" srcId="{F3AEDCD1-ADFF-42F9-B3AC-02BF419E4E24}" destId="{FE08B933-6EAD-46DD-B3C4-697701993C64}" srcOrd="3" destOrd="0" presId="urn:microsoft.com/office/officeart/2005/8/layout/hProcess9"/>
    <dgm:cxn modelId="{F1867C62-486B-4469-BF4D-44EDE08D4860}" type="presParOf" srcId="{F3AEDCD1-ADFF-42F9-B3AC-02BF419E4E24}" destId="{70E7FA96-11F2-45AA-AB61-43812D3699A9}" srcOrd="4" destOrd="0" presId="urn:microsoft.com/office/officeart/2005/8/layout/hProcess9"/>
    <dgm:cxn modelId="{F7AB08D8-CB03-4997-AEB3-7C3D42B0E4B2}" type="presParOf" srcId="{F3AEDCD1-ADFF-42F9-B3AC-02BF419E4E24}" destId="{D9326A62-A041-4AAB-B3FB-A3728EB13442}" srcOrd="5" destOrd="0" presId="urn:microsoft.com/office/officeart/2005/8/layout/hProcess9"/>
    <dgm:cxn modelId="{46241E59-3431-48ED-9E9E-56D5F0A9FFD2}" type="presParOf" srcId="{F3AEDCD1-ADFF-42F9-B3AC-02BF419E4E24}" destId="{166E8267-F1AF-4372-B682-C45BC88F09B4}" srcOrd="6"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BE0059-BCBE-41AE-AE84-AF5D9232AD95}"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7E9B0BEC-0262-49B1-BD63-797598DB679A}">
      <dgm:prSet phldrT="[Text]"/>
      <dgm:spPr/>
      <dgm:t>
        <a:bodyPr/>
        <a:lstStyle/>
        <a:p>
          <a:r>
            <a:rPr lang="en-GB" b="1">
              <a:latin typeface="Arial" pitchFamily="34" charset="0"/>
              <a:cs typeface="Arial" pitchFamily="34" charset="0"/>
            </a:rPr>
            <a:t>Start Identifying Risk</a:t>
          </a:r>
        </a:p>
      </dgm:t>
    </dgm:pt>
    <dgm:pt modelId="{3AAEB628-E596-459D-B013-04D164A55F5A}" type="parTrans" cxnId="{9E07065A-ED40-4A05-A8B3-C3976A05E445}">
      <dgm:prSet/>
      <dgm:spPr/>
      <dgm:t>
        <a:bodyPr/>
        <a:lstStyle/>
        <a:p>
          <a:endParaRPr lang="en-GB"/>
        </a:p>
      </dgm:t>
    </dgm:pt>
    <dgm:pt modelId="{31AEFB52-8A3A-4DFB-81D3-A2F67EB0F745}" type="sibTrans" cxnId="{9E07065A-ED40-4A05-A8B3-C3976A05E445}">
      <dgm:prSet/>
      <dgm:spPr/>
      <dgm:t>
        <a:bodyPr/>
        <a:lstStyle/>
        <a:p>
          <a:endParaRPr lang="en-GB"/>
        </a:p>
      </dgm:t>
    </dgm:pt>
    <dgm:pt modelId="{41DD5B6B-4515-4DC3-847E-72DB3EB7FA8D}">
      <dgm:prSet phldrT="[Text]" custT="1"/>
      <dgm:spPr/>
      <dgm:t>
        <a:bodyPr/>
        <a:lstStyle/>
        <a:p>
          <a:r>
            <a:rPr lang="en-GB" sz="1050" b="1">
              <a:latin typeface="Arial" pitchFamily="34" charset="0"/>
              <a:cs typeface="Arial" pitchFamily="34" charset="0"/>
            </a:rPr>
            <a:t>Assessing/ Prioritising Risk</a:t>
          </a:r>
        </a:p>
      </dgm:t>
    </dgm:pt>
    <dgm:pt modelId="{33F98A4D-E7C8-4DB3-848A-BAE1841F2AF9}" type="parTrans" cxnId="{7CD04444-4F2B-4FC7-B74D-86339CFA2396}">
      <dgm:prSet/>
      <dgm:spPr/>
      <dgm:t>
        <a:bodyPr/>
        <a:lstStyle/>
        <a:p>
          <a:endParaRPr lang="en-GB"/>
        </a:p>
      </dgm:t>
    </dgm:pt>
    <dgm:pt modelId="{7FCDEF31-B24A-4DBD-8463-1FA74842081C}" type="sibTrans" cxnId="{7CD04444-4F2B-4FC7-B74D-86339CFA2396}">
      <dgm:prSet/>
      <dgm:spPr/>
      <dgm:t>
        <a:bodyPr/>
        <a:lstStyle/>
        <a:p>
          <a:endParaRPr lang="en-GB"/>
        </a:p>
      </dgm:t>
    </dgm:pt>
    <dgm:pt modelId="{EA204774-F805-4E63-ACF2-DA26289C489A}">
      <dgm:prSet phldrT="[Text]" custT="1"/>
      <dgm:spPr/>
      <dgm:t>
        <a:bodyPr/>
        <a:lstStyle/>
        <a:p>
          <a:r>
            <a:rPr lang="en-GB" sz="1100" b="1">
              <a:latin typeface="Arial" pitchFamily="34" charset="0"/>
              <a:cs typeface="Arial" pitchFamily="34" charset="0"/>
            </a:rPr>
            <a:t>Addressing Risk</a:t>
          </a:r>
        </a:p>
      </dgm:t>
    </dgm:pt>
    <dgm:pt modelId="{2AFF158F-8B8B-4132-9FCE-95B0C4D008B0}" type="parTrans" cxnId="{64F6E46B-30D3-4FE7-894A-0DB3E2063B3B}">
      <dgm:prSet/>
      <dgm:spPr/>
      <dgm:t>
        <a:bodyPr/>
        <a:lstStyle/>
        <a:p>
          <a:endParaRPr lang="en-GB"/>
        </a:p>
      </dgm:t>
    </dgm:pt>
    <dgm:pt modelId="{DACDD8C5-37DE-4BBE-99B2-D90C04F27869}" type="sibTrans" cxnId="{64F6E46B-30D3-4FE7-894A-0DB3E2063B3B}">
      <dgm:prSet/>
      <dgm:spPr/>
      <dgm:t>
        <a:bodyPr/>
        <a:lstStyle/>
        <a:p>
          <a:endParaRPr lang="en-GB"/>
        </a:p>
      </dgm:t>
    </dgm:pt>
    <dgm:pt modelId="{49808426-0AFC-4075-BFB1-CD3599D364F4}">
      <dgm:prSet phldrT="[Text]"/>
      <dgm:spPr/>
      <dgm:t>
        <a:bodyPr/>
        <a:lstStyle/>
        <a:p>
          <a:r>
            <a:rPr lang="en-GB" b="1">
              <a:latin typeface="Arial" pitchFamily="34" charset="0"/>
              <a:cs typeface="Arial" pitchFamily="34" charset="0"/>
            </a:rPr>
            <a:t>Reviewing/ Reporting Risk</a:t>
          </a:r>
        </a:p>
      </dgm:t>
    </dgm:pt>
    <dgm:pt modelId="{BBD34B2B-42A1-46BC-83A7-315261AF5BAC}" type="parTrans" cxnId="{5132FB58-D809-4AEA-B307-AB1965CD84CB}">
      <dgm:prSet/>
      <dgm:spPr/>
      <dgm:t>
        <a:bodyPr/>
        <a:lstStyle/>
        <a:p>
          <a:endParaRPr lang="en-GB"/>
        </a:p>
      </dgm:t>
    </dgm:pt>
    <dgm:pt modelId="{264AE7EE-DDC1-4CB3-A084-563950345F58}" type="sibTrans" cxnId="{5132FB58-D809-4AEA-B307-AB1965CD84CB}">
      <dgm:prSet/>
      <dgm:spPr/>
      <dgm:t>
        <a:bodyPr/>
        <a:lstStyle/>
        <a:p>
          <a:endParaRPr lang="en-GB"/>
        </a:p>
      </dgm:t>
    </dgm:pt>
    <dgm:pt modelId="{1E3169C7-8867-4A7B-8022-AFD297046E67}" type="pres">
      <dgm:prSet presAssocID="{BBBE0059-BCBE-41AE-AE84-AF5D9232AD95}" presName="cycle" presStyleCnt="0">
        <dgm:presLayoutVars>
          <dgm:dir/>
          <dgm:resizeHandles val="exact"/>
        </dgm:presLayoutVars>
      </dgm:prSet>
      <dgm:spPr/>
      <dgm:t>
        <a:bodyPr/>
        <a:lstStyle/>
        <a:p>
          <a:endParaRPr lang="en-GB"/>
        </a:p>
      </dgm:t>
    </dgm:pt>
    <dgm:pt modelId="{1B284977-0ABC-4DC1-810B-7FB44F5EA98B}" type="pres">
      <dgm:prSet presAssocID="{7E9B0BEC-0262-49B1-BD63-797598DB679A}" presName="dummy" presStyleCnt="0"/>
      <dgm:spPr/>
    </dgm:pt>
    <dgm:pt modelId="{6531BD75-4172-444A-AF52-395F31863921}" type="pres">
      <dgm:prSet presAssocID="{7E9B0BEC-0262-49B1-BD63-797598DB679A}" presName="node" presStyleLbl="revTx" presStyleIdx="0" presStyleCnt="4">
        <dgm:presLayoutVars>
          <dgm:bulletEnabled val="1"/>
        </dgm:presLayoutVars>
      </dgm:prSet>
      <dgm:spPr/>
      <dgm:t>
        <a:bodyPr/>
        <a:lstStyle/>
        <a:p>
          <a:endParaRPr lang="en-GB"/>
        </a:p>
      </dgm:t>
    </dgm:pt>
    <dgm:pt modelId="{06BF5D10-8815-427E-85B3-6BF8F4DCD99C}" type="pres">
      <dgm:prSet presAssocID="{31AEFB52-8A3A-4DFB-81D3-A2F67EB0F745}" presName="sibTrans" presStyleLbl="node1" presStyleIdx="0" presStyleCnt="4"/>
      <dgm:spPr/>
      <dgm:t>
        <a:bodyPr/>
        <a:lstStyle/>
        <a:p>
          <a:endParaRPr lang="en-GB"/>
        </a:p>
      </dgm:t>
    </dgm:pt>
    <dgm:pt modelId="{05965C8A-8A8B-43F1-AEDA-D39DF870860C}" type="pres">
      <dgm:prSet presAssocID="{41DD5B6B-4515-4DC3-847E-72DB3EB7FA8D}" presName="dummy" presStyleCnt="0"/>
      <dgm:spPr/>
    </dgm:pt>
    <dgm:pt modelId="{01F7033B-96FC-4DAA-90F4-C3C70AA84591}" type="pres">
      <dgm:prSet presAssocID="{41DD5B6B-4515-4DC3-847E-72DB3EB7FA8D}" presName="node" presStyleLbl="revTx" presStyleIdx="1" presStyleCnt="4">
        <dgm:presLayoutVars>
          <dgm:bulletEnabled val="1"/>
        </dgm:presLayoutVars>
      </dgm:prSet>
      <dgm:spPr/>
      <dgm:t>
        <a:bodyPr/>
        <a:lstStyle/>
        <a:p>
          <a:endParaRPr lang="en-GB"/>
        </a:p>
      </dgm:t>
    </dgm:pt>
    <dgm:pt modelId="{F82E07C1-297B-4677-A038-C77A978BCA28}" type="pres">
      <dgm:prSet presAssocID="{7FCDEF31-B24A-4DBD-8463-1FA74842081C}" presName="sibTrans" presStyleLbl="node1" presStyleIdx="1" presStyleCnt="4"/>
      <dgm:spPr/>
      <dgm:t>
        <a:bodyPr/>
        <a:lstStyle/>
        <a:p>
          <a:endParaRPr lang="en-GB"/>
        </a:p>
      </dgm:t>
    </dgm:pt>
    <dgm:pt modelId="{6E02348D-FEB2-4E18-B5CC-503B544CC8D4}" type="pres">
      <dgm:prSet presAssocID="{EA204774-F805-4E63-ACF2-DA26289C489A}" presName="dummy" presStyleCnt="0"/>
      <dgm:spPr/>
    </dgm:pt>
    <dgm:pt modelId="{2B427695-FD23-4023-B3EC-212C3C1E506D}" type="pres">
      <dgm:prSet presAssocID="{EA204774-F805-4E63-ACF2-DA26289C489A}" presName="node" presStyleLbl="revTx" presStyleIdx="2" presStyleCnt="4">
        <dgm:presLayoutVars>
          <dgm:bulletEnabled val="1"/>
        </dgm:presLayoutVars>
      </dgm:prSet>
      <dgm:spPr/>
      <dgm:t>
        <a:bodyPr/>
        <a:lstStyle/>
        <a:p>
          <a:endParaRPr lang="en-GB"/>
        </a:p>
      </dgm:t>
    </dgm:pt>
    <dgm:pt modelId="{5C592080-EB43-469D-8DCA-69B611950A0D}" type="pres">
      <dgm:prSet presAssocID="{DACDD8C5-37DE-4BBE-99B2-D90C04F27869}" presName="sibTrans" presStyleLbl="node1" presStyleIdx="2" presStyleCnt="4"/>
      <dgm:spPr/>
      <dgm:t>
        <a:bodyPr/>
        <a:lstStyle/>
        <a:p>
          <a:endParaRPr lang="en-GB"/>
        </a:p>
      </dgm:t>
    </dgm:pt>
    <dgm:pt modelId="{70727DB9-E4B9-4B3D-A5E8-316756D3E9FF}" type="pres">
      <dgm:prSet presAssocID="{49808426-0AFC-4075-BFB1-CD3599D364F4}" presName="dummy" presStyleCnt="0"/>
      <dgm:spPr/>
    </dgm:pt>
    <dgm:pt modelId="{DF3FFC1F-0D9D-4118-8A10-D5B7F3BB25A5}" type="pres">
      <dgm:prSet presAssocID="{49808426-0AFC-4075-BFB1-CD3599D364F4}" presName="node" presStyleLbl="revTx" presStyleIdx="3" presStyleCnt="4">
        <dgm:presLayoutVars>
          <dgm:bulletEnabled val="1"/>
        </dgm:presLayoutVars>
      </dgm:prSet>
      <dgm:spPr/>
      <dgm:t>
        <a:bodyPr/>
        <a:lstStyle/>
        <a:p>
          <a:endParaRPr lang="en-GB"/>
        </a:p>
      </dgm:t>
    </dgm:pt>
    <dgm:pt modelId="{6EE7814F-68C2-40CC-A563-E8BDAAD0FBDD}" type="pres">
      <dgm:prSet presAssocID="{264AE7EE-DDC1-4CB3-A084-563950345F58}" presName="sibTrans" presStyleLbl="node1" presStyleIdx="3" presStyleCnt="4"/>
      <dgm:spPr/>
      <dgm:t>
        <a:bodyPr/>
        <a:lstStyle/>
        <a:p>
          <a:endParaRPr lang="en-GB"/>
        </a:p>
      </dgm:t>
    </dgm:pt>
  </dgm:ptLst>
  <dgm:cxnLst>
    <dgm:cxn modelId="{9E07065A-ED40-4A05-A8B3-C3976A05E445}" srcId="{BBBE0059-BCBE-41AE-AE84-AF5D9232AD95}" destId="{7E9B0BEC-0262-49B1-BD63-797598DB679A}" srcOrd="0" destOrd="0" parTransId="{3AAEB628-E596-459D-B013-04D164A55F5A}" sibTransId="{31AEFB52-8A3A-4DFB-81D3-A2F67EB0F745}"/>
    <dgm:cxn modelId="{64F6E46B-30D3-4FE7-894A-0DB3E2063B3B}" srcId="{BBBE0059-BCBE-41AE-AE84-AF5D9232AD95}" destId="{EA204774-F805-4E63-ACF2-DA26289C489A}" srcOrd="2" destOrd="0" parTransId="{2AFF158F-8B8B-4132-9FCE-95B0C4D008B0}" sibTransId="{DACDD8C5-37DE-4BBE-99B2-D90C04F27869}"/>
    <dgm:cxn modelId="{415B7594-C2EF-4D40-A89C-629D75CCD5AE}" type="presOf" srcId="{49808426-0AFC-4075-BFB1-CD3599D364F4}" destId="{DF3FFC1F-0D9D-4118-8A10-D5B7F3BB25A5}" srcOrd="0" destOrd="0" presId="urn:microsoft.com/office/officeart/2005/8/layout/cycle1"/>
    <dgm:cxn modelId="{3A1A5622-077E-4ED1-B1E4-AD683EBA3D0D}" type="presOf" srcId="{41DD5B6B-4515-4DC3-847E-72DB3EB7FA8D}" destId="{01F7033B-96FC-4DAA-90F4-C3C70AA84591}" srcOrd="0" destOrd="0" presId="urn:microsoft.com/office/officeart/2005/8/layout/cycle1"/>
    <dgm:cxn modelId="{4BB91B6C-DB60-499B-BFB4-661709B3F0BC}" type="presOf" srcId="{EA204774-F805-4E63-ACF2-DA26289C489A}" destId="{2B427695-FD23-4023-B3EC-212C3C1E506D}" srcOrd="0" destOrd="0" presId="urn:microsoft.com/office/officeart/2005/8/layout/cycle1"/>
    <dgm:cxn modelId="{F4FBF657-CA04-45DC-982D-369602012BCA}" type="presOf" srcId="{264AE7EE-DDC1-4CB3-A084-563950345F58}" destId="{6EE7814F-68C2-40CC-A563-E8BDAAD0FBDD}" srcOrd="0" destOrd="0" presId="urn:microsoft.com/office/officeart/2005/8/layout/cycle1"/>
    <dgm:cxn modelId="{B104F770-A7A9-48DA-95C5-74DB536465B4}" type="presOf" srcId="{7E9B0BEC-0262-49B1-BD63-797598DB679A}" destId="{6531BD75-4172-444A-AF52-395F31863921}" srcOrd="0" destOrd="0" presId="urn:microsoft.com/office/officeart/2005/8/layout/cycle1"/>
    <dgm:cxn modelId="{89CD7BA4-3D8B-4065-ACE8-72A0B2C20F28}" type="presOf" srcId="{31AEFB52-8A3A-4DFB-81D3-A2F67EB0F745}" destId="{06BF5D10-8815-427E-85B3-6BF8F4DCD99C}" srcOrd="0" destOrd="0" presId="urn:microsoft.com/office/officeart/2005/8/layout/cycle1"/>
    <dgm:cxn modelId="{7CD04444-4F2B-4FC7-B74D-86339CFA2396}" srcId="{BBBE0059-BCBE-41AE-AE84-AF5D9232AD95}" destId="{41DD5B6B-4515-4DC3-847E-72DB3EB7FA8D}" srcOrd="1" destOrd="0" parTransId="{33F98A4D-E7C8-4DB3-848A-BAE1841F2AF9}" sibTransId="{7FCDEF31-B24A-4DBD-8463-1FA74842081C}"/>
    <dgm:cxn modelId="{9C680B1F-8211-48AF-852F-C8B1766A98D5}" type="presOf" srcId="{7FCDEF31-B24A-4DBD-8463-1FA74842081C}" destId="{F82E07C1-297B-4677-A038-C77A978BCA28}" srcOrd="0" destOrd="0" presId="urn:microsoft.com/office/officeart/2005/8/layout/cycle1"/>
    <dgm:cxn modelId="{4D8F5D8C-17DF-4278-8CBF-FA9FB7519DD3}" type="presOf" srcId="{DACDD8C5-37DE-4BBE-99B2-D90C04F27869}" destId="{5C592080-EB43-469D-8DCA-69B611950A0D}" srcOrd="0" destOrd="0" presId="urn:microsoft.com/office/officeart/2005/8/layout/cycle1"/>
    <dgm:cxn modelId="{5775FAD0-B251-4665-BF47-C9E072A9F6D9}" type="presOf" srcId="{BBBE0059-BCBE-41AE-AE84-AF5D9232AD95}" destId="{1E3169C7-8867-4A7B-8022-AFD297046E67}" srcOrd="0" destOrd="0" presId="urn:microsoft.com/office/officeart/2005/8/layout/cycle1"/>
    <dgm:cxn modelId="{5132FB58-D809-4AEA-B307-AB1965CD84CB}" srcId="{BBBE0059-BCBE-41AE-AE84-AF5D9232AD95}" destId="{49808426-0AFC-4075-BFB1-CD3599D364F4}" srcOrd="3" destOrd="0" parTransId="{BBD34B2B-42A1-46BC-83A7-315261AF5BAC}" sibTransId="{264AE7EE-DDC1-4CB3-A084-563950345F58}"/>
    <dgm:cxn modelId="{D63AAA2E-1A69-4B8F-8DB2-411DCB3D3A93}" type="presParOf" srcId="{1E3169C7-8867-4A7B-8022-AFD297046E67}" destId="{1B284977-0ABC-4DC1-810B-7FB44F5EA98B}" srcOrd="0" destOrd="0" presId="urn:microsoft.com/office/officeart/2005/8/layout/cycle1"/>
    <dgm:cxn modelId="{3F5D0704-2DD3-4650-9CE9-E7F7EC87BA7C}" type="presParOf" srcId="{1E3169C7-8867-4A7B-8022-AFD297046E67}" destId="{6531BD75-4172-444A-AF52-395F31863921}" srcOrd="1" destOrd="0" presId="urn:microsoft.com/office/officeart/2005/8/layout/cycle1"/>
    <dgm:cxn modelId="{8C18B525-4686-4D70-A55C-3E348B160AFB}" type="presParOf" srcId="{1E3169C7-8867-4A7B-8022-AFD297046E67}" destId="{06BF5D10-8815-427E-85B3-6BF8F4DCD99C}" srcOrd="2" destOrd="0" presId="urn:microsoft.com/office/officeart/2005/8/layout/cycle1"/>
    <dgm:cxn modelId="{DC725817-D0F9-4D6F-8200-E8B1803DF459}" type="presParOf" srcId="{1E3169C7-8867-4A7B-8022-AFD297046E67}" destId="{05965C8A-8A8B-43F1-AEDA-D39DF870860C}" srcOrd="3" destOrd="0" presId="urn:microsoft.com/office/officeart/2005/8/layout/cycle1"/>
    <dgm:cxn modelId="{209860B2-F2C9-44EC-A758-0CEDC34F034F}" type="presParOf" srcId="{1E3169C7-8867-4A7B-8022-AFD297046E67}" destId="{01F7033B-96FC-4DAA-90F4-C3C70AA84591}" srcOrd="4" destOrd="0" presId="urn:microsoft.com/office/officeart/2005/8/layout/cycle1"/>
    <dgm:cxn modelId="{D5C28F74-5F3B-4699-A997-8C6EF724CBF8}" type="presParOf" srcId="{1E3169C7-8867-4A7B-8022-AFD297046E67}" destId="{F82E07C1-297B-4677-A038-C77A978BCA28}" srcOrd="5" destOrd="0" presId="urn:microsoft.com/office/officeart/2005/8/layout/cycle1"/>
    <dgm:cxn modelId="{7AD4E0C8-4E55-472C-BEC4-CE14DCA63521}" type="presParOf" srcId="{1E3169C7-8867-4A7B-8022-AFD297046E67}" destId="{6E02348D-FEB2-4E18-B5CC-503B544CC8D4}" srcOrd="6" destOrd="0" presId="urn:microsoft.com/office/officeart/2005/8/layout/cycle1"/>
    <dgm:cxn modelId="{D2013B7A-69FE-4078-B188-C7183240DDFC}" type="presParOf" srcId="{1E3169C7-8867-4A7B-8022-AFD297046E67}" destId="{2B427695-FD23-4023-B3EC-212C3C1E506D}" srcOrd="7" destOrd="0" presId="urn:microsoft.com/office/officeart/2005/8/layout/cycle1"/>
    <dgm:cxn modelId="{1A92266B-FA35-44D9-BE11-B32A36894E64}" type="presParOf" srcId="{1E3169C7-8867-4A7B-8022-AFD297046E67}" destId="{5C592080-EB43-469D-8DCA-69B611950A0D}" srcOrd="8" destOrd="0" presId="urn:microsoft.com/office/officeart/2005/8/layout/cycle1"/>
    <dgm:cxn modelId="{10D61F09-F042-4EF4-80EE-B8A74C2A9E68}" type="presParOf" srcId="{1E3169C7-8867-4A7B-8022-AFD297046E67}" destId="{70727DB9-E4B9-4B3D-A5E8-316756D3E9FF}" srcOrd="9" destOrd="0" presId="urn:microsoft.com/office/officeart/2005/8/layout/cycle1"/>
    <dgm:cxn modelId="{13163FC2-3C74-4D73-834A-AF4D8063013A}" type="presParOf" srcId="{1E3169C7-8867-4A7B-8022-AFD297046E67}" destId="{DF3FFC1F-0D9D-4118-8A10-D5B7F3BB25A5}" srcOrd="10" destOrd="0" presId="urn:microsoft.com/office/officeart/2005/8/layout/cycle1"/>
    <dgm:cxn modelId="{3E882487-CCE7-49B0-AA9F-230834AD2987}" type="presParOf" srcId="{1E3169C7-8867-4A7B-8022-AFD297046E67}" destId="{6EE7814F-68C2-40CC-A563-E8BDAAD0FBDD}" srcOrd="11"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68AAA-DE73-425F-99A1-6F8D96DECC19}">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FDD477E-0856-4796-B15B-0CF48731F023}">
      <dsp:nvSpPr>
        <dsp:cNvPr id="0" name=""/>
        <dsp:cNvSpPr/>
      </dsp:nvSpPr>
      <dsp:spPr>
        <a:xfrm>
          <a:off x="2745"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Assess</a:t>
          </a:r>
        </a:p>
        <a:p>
          <a:pPr lvl="0" algn="ctr" defTabSz="400050">
            <a:lnSpc>
              <a:spcPct val="90000"/>
            </a:lnSpc>
            <a:spcBef>
              <a:spcPct val="0"/>
            </a:spcBef>
            <a:spcAft>
              <a:spcPct val="35000"/>
            </a:spcAft>
          </a:pPr>
          <a:r>
            <a:rPr lang="en-GB" sz="900" b="0" kern="1200"/>
            <a:t>Identify important </a:t>
          </a:r>
          <a:r>
            <a:rPr lang="en-GB" sz="900" kern="1200"/>
            <a:t>parts of the business - service, staff, finance, etc.</a:t>
          </a:r>
        </a:p>
      </dsp:txBody>
      <dsp:txXfrm>
        <a:off x="65237" y="1022612"/>
        <a:ext cx="1195716" cy="1155176"/>
      </dsp:txXfrm>
    </dsp:sp>
    <dsp:sp modelId="{7CA12A75-82EF-45AD-B62A-388EED3CD87D}">
      <dsp:nvSpPr>
        <dsp:cNvPr id="0" name=""/>
        <dsp:cNvSpPr/>
      </dsp:nvSpPr>
      <dsp:spPr>
        <a:xfrm>
          <a:off x="1389481"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Evaluate </a:t>
          </a:r>
        </a:p>
        <a:p>
          <a:pPr lvl="0" algn="ctr" defTabSz="400050">
            <a:lnSpc>
              <a:spcPct val="90000"/>
            </a:lnSpc>
            <a:spcBef>
              <a:spcPct val="0"/>
            </a:spcBef>
            <a:spcAft>
              <a:spcPct val="35000"/>
            </a:spcAft>
          </a:pPr>
          <a:r>
            <a:rPr lang="en-GB" sz="900" kern="1200"/>
            <a:t>Consider what risks each of these face and are they operational or external. Controlled in a document called the Risk Register (see Appendix 2).</a:t>
          </a:r>
        </a:p>
      </dsp:txBody>
      <dsp:txXfrm>
        <a:off x="1451973" y="1022612"/>
        <a:ext cx="1195716" cy="1155176"/>
      </dsp:txXfrm>
    </dsp:sp>
    <dsp:sp modelId="{70E7FA96-11F2-45AA-AB61-43812D3699A9}">
      <dsp:nvSpPr>
        <dsp:cNvPr id="0" name=""/>
        <dsp:cNvSpPr/>
      </dsp:nvSpPr>
      <dsp:spPr>
        <a:xfrm>
          <a:off x="2776217"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Manage </a:t>
          </a:r>
        </a:p>
        <a:p>
          <a:pPr lvl="0" algn="ctr" defTabSz="400050">
            <a:lnSpc>
              <a:spcPct val="90000"/>
            </a:lnSpc>
            <a:spcBef>
              <a:spcPct val="0"/>
            </a:spcBef>
            <a:spcAft>
              <a:spcPct val="35000"/>
            </a:spcAft>
          </a:pPr>
          <a:r>
            <a:rPr lang="en-GB" sz="900" kern="1200"/>
            <a:t>What can we do to minimise the risk?</a:t>
          </a:r>
        </a:p>
      </dsp:txBody>
      <dsp:txXfrm>
        <a:off x="2838709" y="1022612"/>
        <a:ext cx="1195716" cy="1155176"/>
      </dsp:txXfrm>
    </dsp:sp>
    <dsp:sp modelId="{166E8267-F1AF-4372-B682-C45BC88F09B4}">
      <dsp:nvSpPr>
        <dsp:cNvPr id="0" name=""/>
        <dsp:cNvSpPr/>
      </dsp:nvSpPr>
      <dsp:spPr>
        <a:xfrm>
          <a:off x="4165699"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Measure</a:t>
          </a:r>
        </a:p>
        <a:p>
          <a:pPr lvl="0" algn="ctr" defTabSz="400050">
            <a:lnSpc>
              <a:spcPct val="90000"/>
            </a:lnSpc>
            <a:spcBef>
              <a:spcPct val="0"/>
            </a:spcBef>
            <a:spcAft>
              <a:spcPct val="35000"/>
            </a:spcAft>
          </a:pPr>
          <a:r>
            <a:rPr lang="en-GB" sz="900" kern="1200"/>
            <a:t>Score the risk.</a:t>
          </a:r>
        </a:p>
      </dsp:txBody>
      <dsp:txXfrm>
        <a:off x="4228191" y="1022612"/>
        <a:ext cx="1195716" cy="11551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1BD75-4172-444A-AF52-395F31863921}">
      <dsp:nvSpPr>
        <dsp:cNvPr id="0" name=""/>
        <dsp:cNvSpPr/>
      </dsp:nvSpPr>
      <dsp:spPr>
        <a:xfrm>
          <a:off x="2281693" y="51645"/>
          <a:ext cx="819436" cy="819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Start Identifying Risk</a:t>
          </a:r>
        </a:p>
      </dsp:txBody>
      <dsp:txXfrm>
        <a:off x="2281693" y="51645"/>
        <a:ext cx="819436" cy="819436"/>
      </dsp:txXfrm>
    </dsp:sp>
    <dsp:sp modelId="{06BF5D10-8815-427E-85B3-6BF8F4DCD99C}">
      <dsp:nvSpPr>
        <dsp:cNvPr id="0" name=""/>
        <dsp:cNvSpPr/>
      </dsp:nvSpPr>
      <dsp:spPr>
        <a:xfrm>
          <a:off x="838196" y="-3"/>
          <a:ext cx="2314581" cy="2314581"/>
        </a:xfrm>
        <a:prstGeom prst="circularArrow">
          <a:avLst>
            <a:gd name="adj1" fmla="val 6904"/>
            <a:gd name="adj2" fmla="val 465476"/>
            <a:gd name="adj3" fmla="val 548893"/>
            <a:gd name="adj4" fmla="val 20585631"/>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F7033B-96FC-4DAA-90F4-C3C70AA84591}">
      <dsp:nvSpPr>
        <dsp:cNvPr id="0" name=""/>
        <dsp:cNvSpPr/>
      </dsp:nvSpPr>
      <dsp:spPr>
        <a:xfrm>
          <a:off x="2281693" y="1443493"/>
          <a:ext cx="819436" cy="819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latin typeface="Arial" pitchFamily="34" charset="0"/>
              <a:cs typeface="Arial" pitchFamily="34" charset="0"/>
            </a:rPr>
            <a:t>Assessing/ Prioritising Risk</a:t>
          </a:r>
        </a:p>
      </dsp:txBody>
      <dsp:txXfrm>
        <a:off x="2281693" y="1443493"/>
        <a:ext cx="819436" cy="819436"/>
      </dsp:txXfrm>
    </dsp:sp>
    <dsp:sp modelId="{F82E07C1-297B-4677-A038-C77A978BCA28}">
      <dsp:nvSpPr>
        <dsp:cNvPr id="0" name=""/>
        <dsp:cNvSpPr/>
      </dsp:nvSpPr>
      <dsp:spPr>
        <a:xfrm>
          <a:off x="838196" y="-3"/>
          <a:ext cx="2314581" cy="2314581"/>
        </a:xfrm>
        <a:prstGeom prst="circularArrow">
          <a:avLst>
            <a:gd name="adj1" fmla="val 6904"/>
            <a:gd name="adj2" fmla="val 465476"/>
            <a:gd name="adj3" fmla="val 5948893"/>
            <a:gd name="adj4" fmla="val 4385631"/>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427695-FD23-4023-B3EC-212C3C1E506D}">
      <dsp:nvSpPr>
        <dsp:cNvPr id="0" name=""/>
        <dsp:cNvSpPr/>
      </dsp:nvSpPr>
      <dsp:spPr>
        <a:xfrm>
          <a:off x="889845" y="1443493"/>
          <a:ext cx="819436" cy="819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Addressing Risk</a:t>
          </a:r>
        </a:p>
      </dsp:txBody>
      <dsp:txXfrm>
        <a:off x="889845" y="1443493"/>
        <a:ext cx="819436" cy="819436"/>
      </dsp:txXfrm>
    </dsp:sp>
    <dsp:sp modelId="{5C592080-EB43-469D-8DCA-69B611950A0D}">
      <dsp:nvSpPr>
        <dsp:cNvPr id="0" name=""/>
        <dsp:cNvSpPr/>
      </dsp:nvSpPr>
      <dsp:spPr>
        <a:xfrm>
          <a:off x="838196" y="-3"/>
          <a:ext cx="2314581" cy="2314581"/>
        </a:xfrm>
        <a:prstGeom prst="circularArrow">
          <a:avLst>
            <a:gd name="adj1" fmla="val 6904"/>
            <a:gd name="adj2" fmla="val 465476"/>
            <a:gd name="adj3" fmla="val 11348893"/>
            <a:gd name="adj4" fmla="val 9785631"/>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3FFC1F-0D9D-4118-8A10-D5B7F3BB25A5}">
      <dsp:nvSpPr>
        <dsp:cNvPr id="0" name=""/>
        <dsp:cNvSpPr/>
      </dsp:nvSpPr>
      <dsp:spPr>
        <a:xfrm>
          <a:off x="889845" y="51645"/>
          <a:ext cx="819436" cy="819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latin typeface="Arial" pitchFamily="34" charset="0"/>
              <a:cs typeface="Arial" pitchFamily="34" charset="0"/>
            </a:rPr>
            <a:t>Reviewing/ Reporting Risk</a:t>
          </a:r>
        </a:p>
      </dsp:txBody>
      <dsp:txXfrm>
        <a:off x="889845" y="51645"/>
        <a:ext cx="819436" cy="819436"/>
      </dsp:txXfrm>
    </dsp:sp>
    <dsp:sp modelId="{6EE7814F-68C2-40CC-A563-E8BDAAD0FBDD}">
      <dsp:nvSpPr>
        <dsp:cNvPr id="0" name=""/>
        <dsp:cNvSpPr/>
      </dsp:nvSpPr>
      <dsp:spPr>
        <a:xfrm>
          <a:off x="838196" y="-3"/>
          <a:ext cx="2314581" cy="2314581"/>
        </a:xfrm>
        <a:prstGeom prst="circularArrow">
          <a:avLst>
            <a:gd name="adj1" fmla="val 6904"/>
            <a:gd name="adj2" fmla="val 465476"/>
            <a:gd name="adj3" fmla="val 16748893"/>
            <a:gd name="adj4" fmla="val 15185631"/>
            <a:gd name="adj5" fmla="val 805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2C21-E558-42DC-8B94-86AA6A91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Caron Quinn</cp:lastModifiedBy>
  <cp:revision>11</cp:revision>
  <cp:lastPrinted>2018-02-20T10:37:00Z</cp:lastPrinted>
  <dcterms:created xsi:type="dcterms:W3CDTF">2017-10-04T11:25:00Z</dcterms:created>
  <dcterms:modified xsi:type="dcterms:W3CDTF">2019-05-15T13:20:00Z</dcterms:modified>
</cp:coreProperties>
</file>