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7A" w:rsidRDefault="00FD2D7A" w:rsidP="00FD2D7A">
      <w:pPr>
        <w:tabs>
          <w:tab w:val="center" w:pos="1867"/>
        </w:tabs>
        <w:rPr>
          <w:rFonts w:ascii="Arial" w:hAnsi="Arial" w:cs="Arial"/>
          <w:b/>
          <w:sz w:val="28"/>
          <w:szCs w:val="28"/>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9525</wp:posOffset>
            </wp:positionV>
            <wp:extent cx="2581275" cy="2143125"/>
            <wp:effectExtent l="0" t="0" r="9525" b="9525"/>
            <wp:wrapSquare wrapText="bothSides"/>
            <wp:docPr id="3" name="Picture 3" descr="G:\7. LOGOS AND PHOTOGRAPHS\Logos\Govan Hoousing Association\Govan HA-fin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7. LOGOS AND PHOTOGRAPHS\Logos\Govan Hoousing Association\Govan HA-final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5" cy="2143125"/>
                    </a:xfrm>
                    <a:prstGeom prst="rect">
                      <a:avLst/>
                    </a:prstGeom>
                    <a:noFill/>
                    <a:ln>
                      <a:noFill/>
                    </a:ln>
                  </pic:spPr>
                </pic:pic>
              </a:graphicData>
            </a:graphic>
          </wp:anchor>
        </w:drawing>
      </w:r>
      <w:r>
        <w:rPr>
          <w:rFonts w:ascii="Arial" w:hAnsi="Arial" w:cs="Arial"/>
          <w:b/>
          <w:sz w:val="28"/>
          <w:szCs w:val="28"/>
        </w:rPr>
        <w:br w:type="textWrapping" w:clear="all"/>
      </w:r>
    </w:p>
    <w:p w:rsidR="00FD2D7A" w:rsidRPr="009248A4" w:rsidRDefault="00626B54" w:rsidP="00FD2D7A">
      <w:pPr>
        <w:jc w:val="center"/>
        <w:rPr>
          <w:rFonts w:ascii="Arial" w:hAnsi="Arial" w:cs="Arial"/>
          <w:b/>
          <w:color w:val="000000" w:themeColor="text1"/>
          <w:sz w:val="40"/>
          <w:szCs w:val="40"/>
        </w:rPr>
      </w:pPr>
      <w:r>
        <w:rPr>
          <w:rFonts w:ascii="Arial" w:hAnsi="Arial" w:cs="Arial"/>
          <w:b/>
          <w:color w:val="000000" w:themeColor="text1"/>
          <w:sz w:val="40"/>
          <w:szCs w:val="40"/>
        </w:rPr>
        <w:t xml:space="preserve">Rent Setting Policy </w:t>
      </w:r>
    </w:p>
    <w:p w:rsidR="00FD2D7A" w:rsidRDefault="00FD2D7A" w:rsidP="00FD2D7A"/>
    <w:tbl>
      <w:tblPr>
        <w:tblStyle w:val="TableGrid"/>
        <w:tblW w:w="0" w:type="auto"/>
        <w:tblLook w:val="04A0" w:firstRow="1" w:lastRow="0" w:firstColumn="1" w:lastColumn="0" w:noHBand="0" w:noVBand="1"/>
      </w:tblPr>
      <w:tblGrid>
        <w:gridCol w:w="5074"/>
        <w:gridCol w:w="3942"/>
      </w:tblGrid>
      <w:tr w:rsidR="00FD2D7A" w:rsidTr="00A562B2">
        <w:tc>
          <w:tcPr>
            <w:tcW w:w="5074" w:type="dxa"/>
          </w:tcPr>
          <w:p w:rsidR="00FD2D7A" w:rsidRPr="002E0907" w:rsidRDefault="00FD2D7A" w:rsidP="00001320">
            <w:pPr>
              <w:rPr>
                <w:rFonts w:ascii="Arial" w:hAnsi="Arial" w:cs="Arial"/>
                <w:b/>
                <w:sz w:val="24"/>
              </w:rPr>
            </w:pPr>
            <w:r w:rsidRPr="002E0907">
              <w:rPr>
                <w:rFonts w:ascii="Arial" w:hAnsi="Arial" w:cs="Arial"/>
                <w:b/>
                <w:sz w:val="24"/>
              </w:rPr>
              <w:t>Policy Manual Section:</w:t>
            </w:r>
          </w:p>
        </w:tc>
        <w:tc>
          <w:tcPr>
            <w:tcW w:w="3942" w:type="dxa"/>
          </w:tcPr>
          <w:p w:rsidR="00FD2D7A" w:rsidRPr="001A4506" w:rsidRDefault="00626B54" w:rsidP="00466E29">
            <w:pPr>
              <w:rPr>
                <w:rFonts w:ascii="Arial" w:hAnsi="Arial" w:cs="Arial"/>
                <w:sz w:val="24"/>
              </w:rPr>
            </w:pPr>
            <w:r>
              <w:rPr>
                <w:rFonts w:ascii="Arial" w:hAnsi="Arial" w:cs="Arial"/>
                <w:sz w:val="24"/>
              </w:rPr>
              <w:t>Customer Services</w:t>
            </w:r>
          </w:p>
        </w:tc>
      </w:tr>
      <w:tr w:rsidR="00FD2D7A" w:rsidTr="00A562B2">
        <w:tc>
          <w:tcPr>
            <w:tcW w:w="5074" w:type="dxa"/>
          </w:tcPr>
          <w:p w:rsidR="00FD2D7A" w:rsidRPr="002E0907" w:rsidRDefault="00FD2D7A" w:rsidP="00001320">
            <w:pPr>
              <w:rPr>
                <w:rFonts w:ascii="Arial" w:hAnsi="Arial" w:cs="Arial"/>
                <w:b/>
                <w:sz w:val="24"/>
              </w:rPr>
            </w:pPr>
            <w:r w:rsidRPr="002E0907">
              <w:rPr>
                <w:rFonts w:ascii="Arial" w:hAnsi="Arial" w:cs="Arial"/>
                <w:b/>
                <w:sz w:val="24"/>
              </w:rPr>
              <w:t>Policy Number:</w:t>
            </w:r>
          </w:p>
        </w:tc>
        <w:tc>
          <w:tcPr>
            <w:tcW w:w="3942" w:type="dxa"/>
          </w:tcPr>
          <w:p w:rsidR="00FD2D7A" w:rsidRPr="008D5ABC" w:rsidRDefault="00A562B2" w:rsidP="00001320">
            <w:pPr>
              <w:rPr>
                <w:rFonts w:ascii="Arial" w:hAnsi="Arial" w:cs="Arial"/>
                <w:sz w:val="24"/>
              </w:rPr>
            </w:pPr>
            <w:r w:rsidRPr="008D5ABC">
              <w:rPr>
                <w:rFonts w:ascii="Arial" w:hAnsi="Arial" w:cs="Arial"/>
                <w:sz w:val="24"/>
              </w:rPr>
              <w:t>OPERHM09</w:t>
            </w:r>
          </w:p>
        </w:tc>
      </w:tr>
      <w:tr w:rsidR="00FD2D7A" w:rsidTr="00A562B2">
        <w:tc>
          <w:tcPr>
            <w:tcW w:w="5074" w:type="dxa"/>
          </w:tcPr>
          <w:p w:rsidR="00FD2D7A" w:rsidRPr="002E0907" w:rsidRDefault="00FD2D7A" w:rsidP="00001320">
            <w:pPr>
              <w:rPr>
                <w:rFonts w:ascii="Arial" w:hAnsi="Arial" w:cs="Arial"/>
                <w:b/>
                <w:sz w:val="24"/>
              </w:rPr>
            </w:pPr>
            <w:r w:rsidRPr="002E0907">
              <w:rPr>
                <w:rFonts w:ascii="Arial" w:hAnsi="Arial" w:cs="Arial"/>
                <w:b/>
                <w:sz w:val="24"/>
              </w:rPr>
              <w:t>Scottish Social Housing Charter Reference:</w:t>
            </w:r>
          </w:p>
        </w:tc>
        <w:tc>
          <w:tcPr>
            <w:tcW w:w="3942" w:type="dxa"/>
          </w:tcPr>
          <w:p w:rsidR="00A23FA7" w:rsidRDefault="00626B54" w:rsidP="00A23FA7">
            <w:pPr>
              <w:spacing w:after="0"/>
              <w:rPr>
                <w:rFonts w:ascii="Arial" w:eastAsiaTheme="majorEastAsia" w:hAnsi="Arial" w:cs="Arial"/>
                <w:iCs/>
                <w:color w:val="333333"/>
                <w:sz w:val="24"/>
                <w:szCs w:val="24"/>
              </w:rPr>
            </w:pPr>
            <w:r>
              <w:rPr>
                <w:rFonts w:ascii="Arial" w:eastAsiaTheme="majorEastAsia" w:hAnsi="Arial" w:cs="Arial"/>
                <w:iCs/>
                <w:color w:val="333333"/>
                <w:sz w:val="24"/>
                <w:szCs w:val="24"/>
              </w:rPr>
              <w:t>1.</w:t>
            </w:r>
            <w:r w:rsidRPr="00626B54">
              <w:rPr>
                <w:rFonts w:ascii="Arial" w:eastAsiaTheme="majorEastAsia" w:hAnsi="Arial" w:cs="Arial"/>
                <w:iCs/>
                <w:color w:val="333333"/>
                <w:sz w:val="24"/>
                <w:szCs w:val="24"/>
              </w:rPr>
              <w:t xml:space="preserve">Equalities </w:t>
            </w:r>
          </w:p>
          <w:p w:rsidR="00626B54" w:rsidRPr="00626B54" w:rsidRDefault="00626B54" w:rsidP="00A23FA7">
            <w:pPr>
              <w:spacing w:after="0"/>
              <w:rPr>
                <w:rFonts w:ascii="Arial" w:eastAsiaTheme="majorEastAsia" w:hAnsi="Arial" w:cs="Arial"/>
                <w:iCs/>
                <w:color w:val="333333"/>
                <w:sz w:val="24"/>
                <w:szCs w:val="24"/>
              </w:rPr>
            </w:pPr>
            <w:r w:rsidRPr="00626B54">
              <w:rPr>
                <w:rFonts w:ascii="Arial" w:eastAsiaTheme="majorEastAsia" w:hAnsi="Arial" w:cs="Arial"/>
                <w:iCs/>
                <w:color w:val="333333"/>
                <w:sz w:val="24"/>
                <w:szCs w:val="24"/>
              </w:rPr>
              <w:t>3.Participation</w:t>
            </w:r>
          </w:p>
          <w:p w:rsidR="00626B54" w:rsidRPr="00626B54" w:rsidRDefault="00626B54" w:rsidP="00A23FA7">
            <w:pPr>
              <w:spacing w:after="0"/>
              <w:rPr>
                <w:rFonts w:ascii="Arial" w:eastAsiaTheme="majorEastAsia" w:hAnsi="Arial" w:cs="Arial"/>
                <w:iCs/>
                <w:color w:val="333333"/>
                <w:sz w:val="24"/>
                <w:szCs w:val="24"/>
              </w:rPr>
            </w:pPr>
            <w:r w:rsidRPr="00626B54">
              <w:rPr>
                <w:rFonts w:ascii="Arial" w:eastAsiaTheme="majorEastAsia" w:hAnsi="Arial" w:cs="Arial"/>
                <w:iCs/>
                <w:color w:val="333333"/>
                <w:sz w:val="24"/>
                <w:szCs w:val="24"/>
              </w:rPr>
              <w:t>13.Value for Money</w:t>
            </w:r>
          </w:p>
          <w:p w:rsidR="00626B54" w:rsidRPr="00626B54" w:rsidRDefault="00626B54" w:rsidP="00A23FA7">
            <w:pPr>
              <w:spacing w:after="0"/>
              <w:rPr>
                <w:rFonts w:ascii="Arial" w:eastAsiaTheme="majorEastAsia" w:hAnsi="Arial" w:cs="Arial"/>
                <w:iCs/>
                <w:color w:val="333333"/>
                <w:sz w:val="24"/>
                <w:szCs w:val="24"/>
              </w:rPr>
            </w:pPr>
            <w:r>
              <w:rPr>
                <w:rFonts w:ascii="Arial" w:eastAsiaTheme="majorEastAsia" w:hAnsi="Arial" w:cs="Arial"/>
                <w:iCs/>
                <w:color w:val="333333"/>
                <w:sz w:val="24"/>
                <w:szCs w:val="24"/>
              </w:rPr>
              <w:t>14&amp;</w:t>
            </w:r>
            <w:r w:rsidR="00467DAD">
              <w:rPr>
                <w:rFonts w:ascii="Arial" w:eastAsiaTheme="majorEastAsia" w:hAnsi="Arial" w:cs="Arial"/>
                <w:iCs/>
                <w:color w:val="333333"/>
                <w:sz w:val="24"/>
                <w:szCs w:val="24"/>
              </w:rPr>
              <w:t>15. Rents</w:t>
            </w:r>
            <w:r>
              <w:rPr>
                <w:rFonts w:ascii="Arial" w:eastAsiaTheme="majorEastAsia" w:hAnsi="Arial" w:cs="Arial"/>
                <w:iCs/>
                <w:color w:val="333333"/>
                <w:sz w:val="24"/>
                <w:szCs w:val="24"/>
              </w:rPr>
              <w:t xml:space="preserve"> and Service Charges</w:t>
            </w:r>
          </w:p>
        </w:tc>
      </w:tr>
      <w:tr w:rsidR="00A562B2" w:rsidTr="00A562B2">
        <w:tc>
          <w:tcPr>
            <w:tcW w:w="5074" w:type="dxa"/>
          </w:tcPr>
          <w:p w:rsidR="00A562B2" w:rsidRPr="008D5ABC" w:rsidRDefault="00A562B2" w:rsidP="00A562B2">
            <w:pPr>
              <w:rPr>
                <w:rFonts w:ascii="Arial" w:eastAsia="Calibri" w:hAnsi="Arial" w:cs="Arial"/>
                <w:b/>
                <w:sz w:val="24"/>
                <w:szCs w:val="24"/>
              </w:rPr>
            </w:pPr>
            <w:r w:rsidRPr="008D5ABC">
              <w:rPr>
                <w:rFonts w:ascii="Arial" w:eastAsia="Calibri" w:hAnsi="Arial" w:cs="Arial"/>
                <w:b/>
                <w:sz w:val="24"/>
                <w:szCs w:val="24"/>
              </w:rPr>
              <w:t>Regulatory Assurance Framework Reference</w:t>
            </w:r>
          </w:p>
        </w:tc>
        <w:tc>
          <w:tcPr>
            <w:tcW w:w="3942" w:type="dxa"/>
          </w:tcPr>
          <w:p w:rsidR="00A562B2" w:rsidRPr="008D5ABC" w:rsidRDefault="00A562B2" w:rsidP="00A562B2">
            <w:pPr>
              <w:rPr>
                <w:rFonts w:ascii="Arial" w:eastAsia="Calibri" w:hAnsi="Arial" w:cs="Arial"/>
                <w:sz w:val="24"/>
                <w:szCs w:val="24"/>
              </w:rPr>
            </w:pPr>
            <w:r w:rsidRPr="008D5ABC">
              <w:rPr>
                <w:rFonts w:ascii="Arial" w:eastAsia="Calibri" w:hAnsi="Arial" w:cs="Arial"/>
                <w:sz w:val="24"/>
                <w:szCs w:val="24"/>
              </w:rPr>
              <w:t>CH2/2.1/2.4/3.4</w:t>
            </w:r>
          </w:p>
        </w:tc>
      </w:tr>
      <w:tr w:rsidR="00A562B2" w:rsidTr="00A562B2">
        <w:tc>
          <w:tcPr>
            <w:tcW w:w="5074" w:type="dxa"/>
          </w:tcPr>
          <w:p w:rsidR="00A562B2" w:rsidRPr="002E0907" w:rsidRDefault="00A562B2" w:rsidP="00A562B2">
            <w:pPr>
              <w:rPr>
                <w:rFonts w:ascii="Arial" w:hAnsi="Arial" w:cs="Arial"/>
                <w:b/>
                <w:sz w:val="24"/>
              </w:rPr>
            </w:pPr>
            <w:r w:rsidRPr="002E0907">
              <w:rPr>
                <w:rFonts w:ascii="Arial" w:hAnsi="Arial" w:cs="Arial"/>
                <w:b/>
                <w:sz w:val="24"/>
              </w:rPr>
              <w:t xml:space="preserve">Date Approved by </w:t>
            </w:r>
            <w:r w:rsidR="00E17923">
              <w:rPr>
                <w:rFonts w:ascii="Arial" w:hAnsi="Arial" w:cs="Arial"/>
                <w:b/>
                <w:sz w:val="24"/>
              </w:rPr>
              <w:t>Board</w:t>
            </w:r>
            <w:r w:rsidRPr="002E0907">
              <w:rPr>
                <w:rFonts w:ascii="Arial" w:hAnsi="Arial" w:cs="Arial"/>
                <w:b/>
                <w:sz w:val="24"/>
              </w:rPr>
              <w:t>:</w:t>
            </w:r>
          </w:p>
        </w:tc>
        <w:tc>
          <w:tcPr>
            <w:tcW w:w="3942" w:type="dxa"/>
          </w:tcPr>
          <w:p w:rsidR="00A562B2" w:rsidRPr="001A4506" w:rsidRDefault="00A23FA7" w:rsidP="00A562B2">
            <w:pPr>
              <w:rPr>
                <w:rFonts w:ascii="Arial" w:hAnsi="Arial" w:cs="Arial"/>
                <w:sz w:val="24"/>
              </w:rPr>
            </w:pPr>
            <w:r>
              <w:rPr>
                <w:rFonts w:ascii="Arial" w:hAnsi="Arial" w:cs="Arial"/>
                <w:sz w:val="24"/>
              </w:rPr>
              <w:t>January 2020</w:t>
            </w:r>
          </w:p>
        </w:tc>
      </w:tr>
      <w:tr w:rsidR="00A23FA7" w:rsidTr="00A562B2">
        <w:tc>
          <w:tcPr>
            <w:tcW w:w="5074" w:type="dxa"/>
          </w:tcPr>
          <w:p w:rsidR="00A23FA7" w:rsidRPr="002E0907" w:rsidRDefault="00A23FA7" w:rsidP="00A562B2">
            <w:pPr>
              <w:rPr>
                <w:rFonts w:ascii="Arial" w:hAnsi="Arial" w:cs="Arial"/>
                <w:b/>
                <w:sz w:val="24"/>
              </w:rPr>
            </w:pPr>
            <w:r>
              <w:rPr>
                <w:rFonts w:ascii="Arial" w:hAnsi="Arial" w:cs="Arial"/>
                <w:b/>
                <w:sz w:val="24"/>
              </w:rPr>
              <w:t>Review date:</w:t>
            </w:r>
          </w:p>
        </w:tc>
        <w:tc>
          <w:tcPr>
            <w:tcW w:w="3942" w:type="dxa"/>
          </w:tcPr>
          <w:p w:rsidR="00A23FA7" w:rsidRDefault="00A23FA7" w:rsidP="00A562B2">
            <w:pPr>
              <w:rPr>
                <w:rFonts w:ascii="Arial" w:hAnsi="Arial" w:cs="Arial"/>
                <w:sz w:val="24"/>
              </w:rPr>
            </w:pPr>
            <w:r>
              <w:rPr>
                <w:rFonts w:ascii="Arial" w:hAnsi="Arial" w:cs="Arial"/>
                <w:sz w:val="24"/>
              </w:rPr>
              <w:t>January 2024</w:t>
            </w:r>
          </w:p>
        </w:tc>
      </w:tr>
      <w:tr w:rsidR="00A562B2" w:rsidTr="00A562B2">
        <w:tc>
          <w:tcPr>
            <w:tcW w:w="5074" w:type="dxa"/>
          </w:tcPr>
          <w:p w:rsidR="00A562B2" w:rsidRPr="002E0907" w:rsidRDefault="00A562B2" w:rsidP="00A562B2">
            <w:pPr>
              <w:rPr>
                <w:rFonts w:ascii="Arial" w:hAnsi="Arial" w:cs="Arial"/>
                <w:b/>
                <w:sz w:val="24"/>
              </w:rPr>
            </w:pPr>
            <w:r w:rsidRPr="002E0907">
              <w:rPr>
                <w:rFonts w:ascii="Arial" w:hAnsi="Arial" w:cs="Arial"/>
                <w:b/>
                <w:sz w:val="24"/>
              </w:rPr>
              <w:t>Next Review Date:</w:t>
            </w:r>
          </w:p>
        </w:tc>
        <w:tc>
          <w:tcPr>
            <w:tcW w:w="3942" w:type="dxa"/>
          </w:tcPr>
          <w:p w:rsidR="00A562B2" w:rsidRPr="001A4506" w:rsidRDefault="00A23FA7" w:rsidP="00A562B2">
            <w:pPr>
              <w:rPr>
                <w:rFonts w:ascii="Arial" w:hAnsi="Arial" w:cs="Arial"/>
                <w:sz w:val="24"/>
              </w:rPr>
            </w:pPr>
            <w:r>
              <w:rPr>
                <w:rFonts w:ascii="Arial" w:hAnsi="Arial" w:cs="Arial"/>
                <w:sz w:val="24"/>
              </w:rPr>
              <w:t>January 2029</w:t>
            </w:r>
          </w:p>
        </w:tc>
      </w:tr>
      <w:tr w:rsidR="00FD2D7A" w:rsidTr="00A562B2">
        <w:tblPrEx>
          <w:shd w:val="clear" w:color="auto" w:fill="BFBFBF" w:themeFill="background1" w:themeFillShade="BF"/>
        </w:tblPrEx>
        <w:tc>
          <w:tcPr>
            <w:tcW w:w="9016" w:type="dxa"/>
            <w:gridSpan w:val="2"/>
            <w:shd w:val="clear" w:color="auto" w:fill="8496B0" w:themeFill="text2" w:themeFillTint="99"/>
          </w:tcPr>
          <w:p w:rsidR="00FD2D7A" w:rsidRPr="00AE7782" w:rsidRDefault="00FD2D7A" w:rsidP="00001320">
            <w:pPr>
              <w:rPr>
                <w:color w:val="FFFFFF" w:themeColor="background1"/>
                <w:sz w:val="28"/>
                <w:szCs w:val="28"/>
              </w:rPr>
            </w:pPr>
          </w:p>
          <w:p w:rsidR="00FD2D7A" w:rsidRPr="00AE7782" w:rsidRDefault="00FD2D7A" w:rsidP="00001320">
            <w:pPr>
              <w:rPr>
                <w:rFonts w:ascii="Arial" w:hAnsi="Arial" w:cs="Arial"/>
                <w:b/>
                <w:color w:val="FFFFFF" w:themeColor="background1"/>
                <w:sz w:val="28"/>
                <w:szCs w:val="28"/>
              </w:rPr>
            </w:pPr>
            <w:r w:rsidRPr="00AE7782">
              <w:rPr>
                <w:rFonts w:ascii="Arial" w:hAnsi="Arial" w:cs="Arial"/>
                <w:b/>
                <w:color w:val="FFFFFF" w:themeColor="background1"/>
                <w:sz w:val="28"/>
                <w:szCs w:val="28"/>
              </w:rPr>
              <w:t xml:space="preserve">Govan Housing Association can provide this document on request, in different languages and formats, including Braille and audio formats. </w:t>
            </w:r>
          </w:p>
          <w:p w:rsidR="00FD2D7A" w:rsidRDefault="00FD2D7A" w:rsidP="00001320"/>
        </w:tc>
      </w:tr>
    </w:tbl>
    <w:p w:rsidR="00FD2D7A" w:rsidRDefault="00FD2D7A" w:rsidP="00A73ECF">
      <w:pPr>
        <w:pStyle w:val="Heading1"/>
        <w:numPr>
          <w:ilvl w:val="0"/>
          <w:numId w:val="0"/>
        </w:numPr>
        <w:ind w:left="1080" w:hanging="720"/>
      </w:pPr>
    </w:p>
    <w:p w:rsidR="008D5ABC" w:rsidRDefault="008D5ABC" w:rsidP="008D5ABC">
      <w:pPr>
        <w:rPr>
          <w:lang w:val="en-US"/>
        </w:rPr>
      </w:pPr>
    </w:p>
    <w:p w:rsidR="00DA44EE" w:rsidRDefault="00DA44EE" w:rsidP="008D5ABC">
      <w:pPr>
        <w:rPr>
          <w:lang w:val="en-US"/>
        </w:rPr>
      </w:pPr>
    </w:p>
    <w:p w:rsidR="00343CF7" w:rsidRDefault="00343CF7" w:rsidP="00343CF7">
      <w:pPr>
        <w:jc w:val="center"/>
      </w:pPr>
      <w:r w:rsidRPr="00163F72">
        <w:rPr>
          <w:noProof/>
          <w:lang w:eastAsia="en-GB"/>
        </w:rPr>
        <w:lastRenderedPageBreak/>
        <w:drawing>
          <wp:inline distT="0" distB="0" distL="0" distR="0" wp14:anchorId="21E071DD" wp14:editId="3A7CE222">
            <wp:extent cx="1485900" cy="800100"/>
            <wp:effectExtent l="0" t="0" r="0" b="0"/>
            <wp:docPr id="12" name="Picture 12" descr="Description: Description: HTT Logo 2Colour 300dpi Ma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HTT Logo 2Colour 300dpi Mar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800100"/>
                    </a:xfrm>
                    <a:prstGeom prst="rect">
                      <a:avLst/>
                    </a:prstGeom>
                    <a:noFill/>
                    <a:ln>
                      <a:noFill/>
                    </a:ln>
                  </pic:spPr>
                </pic:pic>
              </a:graphicData>
            </a:graphic>
          </wp:inline>
        </w:drawing>
      </w:r>
    </w:p>
    <w:p w:rsidR="00343CF7" w:rsidRDefault="00343CF7" w:rsidP="00343CF7">
      <w:pPr>
        <w:jc w:val="both"/>
        <w:rPr>
          <w:rFonts w:ascii="Arial" w:hAnsi="Arial" w:cs="Arial"/>
          <w:b/>
          <w:bCs/>
          <w:sz w:val="28"/>
        </w:rPr>
      </w:pPr>
    </w:p>
    <w:p w:rsidR="00343CF7" w:rsidRDefault="00343CF7" w:rsidP="00343CF7">
      <w:pPr>
        <w:widowControl w:val="0"/>
        <w:autoSpaceDE w:val="0"/>
        <w:adjustRightInd w:val="0"/>
        <w:jc w:val="center"/>
        <w:rPr>
          <w:rFonts w:ascii="Arial" w:hAnsi="Arial" w:cs="Arial"/>
          <w:kern w:val="28"/>
          <w:sz w:val="28"/>
          <w:szCs w:val="28"/>
        </w:rPr>
      </w:pPr>
      <w:r w:rsidRPr="003701BC">
        <w:rPr>
          <w:rFonts w:ascii="Arial" w:hAnsi="Arial" w:cs="Arial"/>
          <w:noProof/>
          <w:color w:val="008000"/>
          <w:kern w:val="28"/>
          <w:sz w:val="28"/>
          <w:szCs w:val="28"/>
          <w:lang w:eastAsia="en-GB"/>
        </w:rPr>
        <w:drawing>
          <wp:inline distT="0" distB="0" distL="0" distR="0" wp14:anchorId="63FC0AB1" wp14:editId="5733080F">
            <wp:extent cx="5181600" cy="695325"/>
            <wp:effectExtent l="0" t="0" r="0" b="9525"/>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695325"/>
                    </a:xfrm>
                    <a:prstGeom prst="rect">
                      <a:avLst/>
                    </a:prstGeom>
                    <a:noFill/>
                    <a:ln>
                      <a:noFill/>
                    </a:ln>
                  </pic:spPr>
                </pic:pic>
              </a:graphicData>
            </a:graphic>
          </wp:inline>
        </w:drawing>
      </w:r>
    </w:p>
    <w:p w:rsidR="00343CF7" w:rsidRDefault="00343CF7" w:rsidP="00343CF7">
      <w:pPr>
        <w:widowControl w:val="0"/>
        <w:autoSpaceDE w:val="0"/>
        <w:adjustRightInd w:val="0"/>
        <w:rPr>
          <w:rFonts w:ascii="Arial" w:hAnsi="Arial" w:cs="Arial"/>
          <w:kern w:val="28"/>
          <w:sz w:val="28"/>
          <w:szCs w:val="28"/>
        </w:rPr>
      </w:pPr>
      <w:r w:rsidRPr="003701BC">
        <w:rPr>
          <w:rFonts w:ascii="Arial" w:hAnsi="Arial" w:cs="Arial"/>
          <w:noProof/>
          <w:color w:val="008000"/>
          <w:kern w:val="28"/>
          <w:sz w:val="28"/>
          <w:szCs w:val="28"/>
          <w:lang w:eastAsia="en-GB"/>
        </w:rPr>
        <w:drawing>
          <wp:inline distT="0" distB="0" distL="0" distR="0" wp14:anchorId="5BC90688" wp14:editId="4A0C7C80">
            <wp:extent cx="5457825" cy="800100"/>
            <wp:effectExtent l="0" t="0" r="9525" b="0"/>
            <wp:docPr id="10" name="Picture 1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800100"/>
                    </a:xfrm>
                    <a:prstGeom prst="rect">
                      <a:avLst/>
                    </a:prstGeom>
                    <a:noFill/>
                    <a:ln>
                      <a:noFill/>
                    </a:ln>
                  </pic:spPr>
                </pic:pic>
              </a:graphicData>
            </a:graphic>
          </wp:inline>
        </w:drawing>
      </w:r>
    </w:p>
    <w:p w:rsidR="00343CF7" w:rsidRDefault="00343CF7" w:rsidP="00343CF7">
      <w:pPr>
        <w:widowControl w:val="0"/>
        <w:autoSpaceDE w:val="0"/>
        <w:adjustRightInd w:val="0"/>
        <w:rPr>
          <w:rFonts w:ascii="Arial" w:hAnsi="Arial" w:cs="Arial"/>
          <w:kern w:val="28"/>
          <w:sz w:val="28"/>
          <w:szCs w:val="28"/>
        </w:rPr>
      </w:pPr>
      <w:r w:rsidRPr="003701BC">
        <w:rPr>
          <w:rFonts w:ascii="Arial" w:hAnsi="Arial" w:cs="Arial"/>
          <w:b/>
          <w:noProof/>
          <w:color w:val="008000"/>
          <w:kern w:val="28"/>
          <w:sz w:val="28"/>
          <w:szCs w:val="28"/>
          <w:lang w:eastAsia="en-GB"/>
        </w:rPr>
        <w:drawing>
          <wp:inline distT="0" distB="0" distL="0" distR="0" wp14:anchorId="5C112652" wp14:editId="18F8003E">
            <wp:extent cx="4962525" cy="1143000"/>
            <wp:effectExtent l="0" t="0" r="9525" b="0"/>
            <wp:docPr id="5" name="Picture 5"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1143000"/>
                    </a:xfrm>
                    <a:prstGeom prst="rect">
                      <a:avLst/>
                    </a:prstGeom>
                    <a:noFill/>
                    <a:ln>
                      <a:noFill/>
                    </a:ln>
                  </pic:spPr>
                </pic:pic>
              </a:graphicData>
            </a:graphic>
          </wp:inline>
        </w:drawing>
      </w:r>
    </w:p>
    <w:p w:rsidR="00343CF7" w:rsidRDefault="00343CF7" w:rsidP="00343CF7">
      <w:pPr>
        <w:widowControl w:val="0"/>
        <w:autoSpaceDE w:val="0"/>
        <w:adjustRightInd w:val="0"/>
        <w:rPr>
          <w:rFonts w:ascii="Arial" w:hAnsi="Arial" w:cs="Arial"/>
          <w:b/>
          <w:bCs/>
          <w:kern w:val="28"/>
          <w:sz w:val="28"/>
          <w:szCs w:val="28"/>
          <w:lang w:val="en-US"/>
        </w:rPr>
      </w:pPr>
      <w:r w:rsidRPr="003701BC">
        <w:rPr>
          <w:rFonts w:ascii="Arial" w:hAnsi="Arial" w:cs="Arial"/>
          <w:b/>
          <w:noProof/>
          <w:color w:val="008000"/>
          <w:kern w:val="28"/>
          <w:sz w:val="28"/>
          <w:szCs w:val="28"/>
          <w:lang w:eastAsia="en-GB"/>
        </w:rPr>
        <w:drawing>
          <wp:inline distT="0" distB="0" distL="0" distR="0" wp14:anchorId="7D2E05F0" wp14:editId="69A6C9F6">
            <wp:extent cx="4857750" cy="7048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704850"/>
                    </a:xfrm>
                    <a:prstGeom prst="rect">
                      <a:avLst/>
                    </a:prstGeom>
                    <a:noFill/>
                    <a:ln>
                      <a:noFill/>
                    </a:ln>
                  </pic:spPr>
                </pic:pic>
              </a:graphicData>
            </a:graphic>
          </wp:inline>
        </w:drawing>
      </w:r>
    </w:p>
    <w:p w:rsidR="00343CF7" w:rsidRPr="00D6613B" w:rsidRDefault="00343CF7" w:rsidP="00343CF7">
      <w:pPr>
        <w:autoSpaceDE w:val="0"/>
        <w:jc w:val="both"/>
        <w:rPr>
          <w:rFonts w:ascii="Calibri Light" w:hAnsi="Calibri Light" w:cs="Calibri Light"/>
          <w:b/>
          <w:bCs/>
          <w:color w:val="000000"/>
          <w:sz w:val="36"/>
          <w:szCs w:val="36"/>
        </w:rPr>
      </w:pPr>
    </w:p>
    <w:p w:rsidR="00343CF7" w:rsidRPr="00D6613B" w:rsidRDefault="00343CF7" w:rsidP="00343CF7">
      <w:pPr>
        <w:autoSpaceDE w:val="0"/>
        <w:jc w:val="both"/>
        <w:rPr>
          <w:rFonts w:ascii="Calibri Light" w:hAnsi="Calibri Light" w:cs="Calibri Light"/>
          <w:b/>
          <w:bCs/>
          <w:color w:val="000000"/>
          <w:sz w:val="36"/>
          <w:szCs w:val="36"/>
        </w:rPr>
      </w:pPr>
    </w:p>
    <w:p w:rsidR="00343CF7" w:rsidRPr="00D6613B" w:rsidRDefault="00343CF7" w:rsidP="00343CF7">
      <w:pPr>
        <w:autoSpaceDE w:val="0"/>
        <w:jc w:val="both"/>
        <w:rPr>
          <w:rFonts w:ascii="Calibri Light" w:hAnsi="Calibri Light" w:cs="Calibri Light"/>
          <w:b/>
          <w:bCs/>
          <w:color w:val="000000"/>
          <w:sz w:val="36"/>
          <w:szCs w:val="36"/>
        </w:rPr>
      </w:pPr>
    </w:p>
    <w:p w:rsidR="00343CF7" w:rsidRPr="00D6613B" w:rsidRDefault="00343CF7" w:rsidP="00343CF7">
      <w:pPr>
        <w:autoSpaceDE w:val="0"/>
        <w:jc w:val="both"/>
        <w:rPr>
          <w:rFonts w:ascii="Calibri Light" w:hAnsi="Calibri Light" w:cs="Calibri Light"/>
          <w:b/>
          <w:bCs/>
          <w:color w:val="000000"/>
          <w:sz w:val="36"/>
          <w:szCs w:val="36"/>
        </w:rPr>
      </w:pPr>
    </w:p>
    <w:p w:rsidR="00343CF7" w:rsidRPr="00D6613B" w:rsidRDefault="00343CF7" w:rsidP="00343CF7">
      <w:pPr>
        <w:autoSpaceDE w:val="0"/>
        <w:jc w:val="both"/>
        <w:rPr>
          <w:rFonts w:ascii="Calibri Light" w:hAnsi="Calibri Light" w:cs="Calibri Light"/>
          <w:b/>
          <w:bCs/>
          <w:color w:val="000000"/>
          <w:sz w:val="36"/>
          <w:szCs w:val="36"/>
        </w:rPr>
      </w:pPr>
    </w:p>
    <w:p w:rsidR="00343CF7" w:rsidRPr="00D6613B" w:rsidRDefault="00343CF7" w:rsidP="00343CF7">
      <w:pPr>
        <w:autoSpaceDE w:val="0"/>
        <w:jc w:val="both"/>
        <w:rPr>
          <w:rFonts w:ascii="Calibri Light" w:hAnsi="Calibri Light" w:cs="Calibri Light"/>
          <w:b/>
          <w:bCs/>
          <w:color w:val="000000"/>
          <w:sz w:val="36"/>
          <w:szCs w:val="36"/>
        </w:rPr>
      </w:pPr>
    </w:p>
    <w:p w:rsidR="00343CF7" w:rsidRPr="00D6613B" w:rsidRDefault="00343CF7" w:rsidP="00343CF7">
      <w:pPr>
        <w:autoSpaceDE w:val="0"/>
        <w:jc w:val="both"/>
        <w:rPr>
          <w:rFonts w:ascii="Calibri Light" w:hAnsi="Calibri Light" w:cs="Calibri Light"/>
          <w:b/>
          <w:bCs/>
          <w:color w:val="000000"/>
          <w:sz w:val="36"/>
          <w:szCs w:val="36"/>
        </w:rPr>
      </w:pPr>
    </w:p>
    <w:p w:rsidR="00343CF7" w:rsidRPr="00D6613B" w:rsidRDefault="00343CF7" w:rsidP="00343CF7">
      <w:pPr>
        <w:autoSpaceDE w:val="0"/>
        <w:jc w:val="both"/>
        <w:rPr>
          <w:rFonts w:ascii="Calibri Light" w:hAnsi="Calibri Light" w:cs="Calibri Light"/>
          <w:b/>
          <w:bCs/>
          <w:color w:val="000000"/>
          <w:sz w:val="36"/>
          <w:szCs w:val="36"/>
        </w:rPr>
      </w:pPr>
    </w:p>
    <w:tbl>
      <w:tblPr>
        <w:tblStyle w:val="TableGrid"/>
        <w:tblpPr w:leftFromText="180" w:rightFromText="180" w:vertAnchor="text" w:horzAnchor="margin" w:tblpY="301"/>
        <w:tblW w:w="9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151"/>
      </w:tblGrid>
      <w:tr w:rsidR="00F72568" w:rsidRPr="00EB4EB9" w:rsidTr="00EB4EB9">
        <w:trPr>
          <w:trHeight w:val="281"/>
        </w:trPr>
        <w:tc>
          <w:tcPr>
            <w:tcW w:w="884" w:type="dxa"/>
          </w:tcPr>
          <w:p w:rsidR="00F72568" w:rsidRPr="00EB4EB9" w:rsidRDefault="00F72568" w:rsidP="00EB4EB9">
            <w:pPr>
              <w:rPr>
                <w:rFonts w:ascii="Arial" w:hAnsi="Arial" w:cs="Arial"/>
                <w:b/>
                <w:sz w:val="24"/>
                <w:szCs w:val="24"/>
              </w:rPr>
            </w:pPr>
            <w:r w:rsidRPr="00EB4EB9">
              <w:rPr>
                <w:rFonts w:ascii="Arial" w:hAnsi="Arial" w:cs="Arial"/>
                <w:b/>
                <w:sz w:val="24"/>
                <w:szCs w:val="24"/>
              </w:rPr>
              <w:lastRenderedPageBreak/>
              <w:t>1</w:t>
            </w:r>
          </w:p>
        </w:tc>
        <w:tc>
          <w:tcPr>
            <w:tcW w:w="8151" w:type="dxa"/>
          </w:tcPr>
          <w:p w:rsidR="00F72568" w:rsidRPr="00EB4EB9" w:rsidRDefault="00F72568" w:rsidP="00EB4EB9">
            <w:pPr>
              <w:rPr>
                <w:rFonts w:ascii="Arial" w:hAnsi="Arial" w:cs="Arial"/>
                <w:b/>
                <w:sz w:val="24"/>
                <w:szCs w:val="24"/>
              </w:rPr>
            </w:pPr>
            <w:r w:rsidRPr="00EB4EB9">
              <w:rPr>
                <w:rFonts w:ascii="Arial" w:hAnsi="Arial" w:cs="Arial"/>
                <w:b/>
                <w:sz w:val="24"/>
                <w:szCs w:val="24"/>
                <w:lang w:val="en-US"/>
              </w:rPr>
              <w:t>Purpose of Policy</w:t>
            </w:r>
          </w:p>
        </w:tc>
      </w:tr>
      <w:tr w:rsidR="00F72568" w:rsidRPr="00EB4EB9" w:rsidTr="00EB4EB9">
        <w:trPr>
          <w:trHeight w:val="658"/>
        </w:trPr>
        <w:tc>
          <w:tcPr>
            <w:tcW w:w="884" w:type="dxa"/>
          </w:tcPr>
          <w:p w:rsidR="00F72568" w:rsidRPr="00EB4EB9" w:rsidRDefault="00F72568" w:rsidP="00EB4EB9">
            <w:pPr>
              <w:rPr>
                <w:rFonts w:ascii="Arial" w:hAnsi="Arial" w:cs="Arial"/>
                <w:sz w:val="24"/>
                <w:szCs w:val="24"/>
              </w:rPr>
            </w:pPr>
            <w:r w:rsidRPr="00EB4EB9">
              <w:rPr>
                <w:rFonts w:ascii="Arial" w:hAnsi="Arial" w:cs="Arial"/>
                <w:sz w:val="24"/>
                <w:szCs w:val="24"/>
              </w:rPr>
              <w:t>1.1</w:t>
            </w:r>
          </w:p>
        </w:tc>
        <w:tc>
          <w:tcPr>
            <w:tcW w:w="8151" w:type="dxa"/>
          </w:tcPr>
          <w:p w:rsidR="00F72568" w:rsidRPr="00EB4EB9" w:rsidRDefault="00626B54" w:rsidP="00EB4EB9">
            <w:pPr>
              <w:jc w:val="both"/>
              <w:rPr>
                <w:rFonts w:ascii="Arial" w:hAnsi="Arial" w:cs="Arial"/>
                <w:sz w:val="24"/>
                <w:szCs w:val="24"/>
                <w:lang w:val="en-US"/>
              </w:rPr>
            </w:pPr>
            <w:r w:rsidRPr="00EB4EB9">
              <w:rPr>
                <w:rFonts w:ascii="Arial" w:hAnsi="Arial" w:cs="Arial"/>
                <w:color w:val="000000"/>
                <w:sz w:val="24"/>
                <w:szCs w:val="24"/>
              </w:rPr>
              <w:t xml:space="preserve">Govan Housing Association is committed to providing the best possible service we can to meet the needs and aspirations of our tenants. This policy sets out the criteria in which Govan Housing </w:t>
            </w:r>
            <w:r w:rsidR="00141879" w:rsidRPr="00EB4EB9">
              <w:rPr>
                <w:rFonts w:ascii="Arial" w:hAnsi="Arial" w:cs="Arial"/>
                <w:color w:val="000000"/>
                <w:sz w:val="24"/>
                <w:szCs w:val="24"/>
              </w:rPr>
              <w:t>Association</w:t>
            </w:r>
            <w:r w:rsidRPr="00EB4EB9">
              <w:rPr>
                <w:rFonts w:ascii="Arial" w:hAnsi="Arial" w:cs="Arial"/>
                <w:color w:val="000000"/>
                <w:sz w:val="24"/>
                <w:szCs w:val="24"/>
              </w:rPr>
              <w:t xml:space="preserve"> will use for setting rents.</w:t>
            </w:r>
          </w:p>
        </w:tc>
      </w:tr>
      <w:tr w:rsidR="00626B54" w:rsidRPr="00EB4EB9" w:rsidTr="00EB4EB9">
        <w:trPr>
          <w:trHeight w:val="286"/>
        </w:trPr>
        <w:tc>
          <w:tcPr>
            <w:tcW w:w="884" w:type="dxa"/>
          </w:tcPr>
          <w:p w:rsidR="00626B54" w:rsidRPr="00EB4EB9" w:rsidRDefault="00626B54" w:rsidP="00EB4EB9">
            <w:pPr>
              <w:rPr>
                <w:rFonts w:ascii="Arial" w:hAnsi="Arial" w:cs="Arial"/>
                <w:sz w:val="24"/>
                <w:szCs w:val="24"/>
              </w:rPr>
            </w:pPr>
            <w:r w:rsidRPr="00EB4EB9">
              <w:rPr>
                <w:rFonts w:ascii="Arial" w:hAnsi="Arial" w:cs="Arial"/>
                <w:sz w:val="24"/>
                <w:szCs w:val="24"/>
              </w:rPr>
              <w:t>1.2</w:t>
            </w:r>
          </w:p>
        </w:tc>
        <w:tc>
          <w:tcPr>
            <w:tcW w:w="8151" w:type="dxa"/>
          </w:tcPr>
          <w:p w:rsidR="00626B54" w:rsidRPr="00EB4EB9" w:rsidRDefault="00626B54" w:rsidP="00EB4EB9">
            <w:pPr>
              <w:jc w:val="both"/>
              <w:rPr>
                <w:rFonts w:ascii="Arial" w:hAnsi="Arial" w:cs="Arial"/>
                <w:sz w:val="24"/>
                <w:szCs w:val="24"/>
                <w:lang w:val="en-US"/>
              </w:rPr>
            </w:pPr>
            <w:r w:rsidRPr="00EB4EB9">
              <w:rPr>
                <w:rFonts w:ascii="Arial" w:hAnsi="Arial" w:cs="Arial"/>
                <w:color w:val="000000"/>
                <w:sz w:val="24"/>
                <w:szCs w:val="24"/>
              </w:rPr>
              <w:t xml:space="preserve">In 2016 Govan Housing Association undertook a full rent restructure exercise with an aim of ensuring that rents were fair, consistent and transparent throughout our stock.  This outcome of this exercise meant that the same set of rules now apply across all properties ensuring that no tenant pays more or less than they should depending on the </w:t>
            </w:r>
            <w:r w:rsidRPr="00EB4EB9">
              <w:rPr>
                <w:rFonts w:ascii="Arial" w:hAnsi="Arial" w:cs="Arial"/>
                <w:color w:val="000000"/>
                <w:sz w:val="24"/>
                <w:szCs w:val="24"/>
              </w:rPr>
              <w:tab/>
              <w:t>property that they live in.   We believe that to deliver future obligations we had to introduce a modern rent structure linked to affordability.</w:t>
            </w:r>
          </w:p>
        </w:tc>
      </w:tr>
      <w:tr w:rsidR="00F72568" w:rsidRPr="00EB4EB9" w:rsidTr="00EB4EB9">
        <w:trPr>
          <w:trHeight w:val="286"/>
        </w:trPr>
        <w:tc>
          <w:tcPr>
            <w:tcW w:w="884" w:type="dxa"/>
          </w:tcPr>
          <w:p w:rsidR="00F72568" w:rsidRPr="00EB4EB9" w:rsidRDefault="00626B54" w:rsidP="00EB4EB9">
            <w:pPr>
              <w:rPr>
                <w:rFonts w:ascii="Arial" w:hAnsi="Arial" w:cs="Arial"/>
                <w:sz w:val="24"/>
                <w:szCs w:val="24"/>
              </w:rPr>
            </w:pPr>
            <w:r w:rsidRPr="00EB4EB9">
              <w:rPr>
                <w:rFonts w:ascii="Arial" w:hAnsi="Arial" w:cs="Arial"/>
                <w:sz w:val="24"/>
                <w:szCs w:val="24"/>
              </w:rPr>
              <w:t>1.3</w:t>
            </w:r>
          </w:p>
        </w:tc>
        <w:tc>
          <w:tcPr>
            <w:tcW w:w="8151" w:type="dxa"/>
          </w:tcPr>
          <w:p w:rsidR="00F72568" w:rsidRPr="00EB4EB9" w:rsidRDefault="00626B54" w:rsidP="00467DAD">
            <w:pPr>
              <w:pStyle w:val="Default"/>
              <w:jc w:val="both"/>
              <w:rPr>
                <w:rFonts w:ascii="Arial" w:hAnsi="Arial" w:cs="Arial"/>
                <w:lang w:val="en-US"/>
              </w:rPr>
            </w:pPr>
            <w:r w:rsidRPr="00EB4EB9">
              <w:rPr>
                <w:rFonts w:ascii="Arial" w:hAnsi="Arial" w:cs="Arial"/>
              </w:rPr>
              <w:t xml:space="preserve">This policy outlines the criteria that Govan Housing </w:t>
            </w:r>
            <w:r w:rsidR="00141879" w:rsidRPr="00EB4EB9">
              <w:rPr>
                <w:rFonts w:ascii="Arial" w:hAnsi="Arial" w:cs="Arial"/>
              </w:rPr>
              <w:t>Association</w:t>
            </w:r>
            <w:r w:rsidRPr="00EB4EB9">
              <w:rPr>
                <w:rFonts w:ascii="Arial" w:hAnsi="Arial" w:cs="Arial"/>
              </w:rPr>
              <w:t xml:space="preserve"> will use in setting rents for its housing stock with the exception of Secure Rents (Registered Fair Rents). </w:t>
            </w:r>
          </w:p>
        </w:tc>
      </w:tr>
      <w:tr w:rsidR="00626B54" w:rsidRPr="00EB4EB9" w:rsidTr="00EB4EB9">
        <w:trPr>
          <w:trHeight w:val="286"/>
        </w:trPr>
        <w:tc>
          <w:tcPr>
            <w:tcW w:w="884" w:type="dxa"/>
          </w:tcPr>
          <w:p w:rsidR="00626B54" w:rsidRPr="00EB4EB9" w:rsidRDefault="00626B54" w:rsidP="00EB4EB9">
            <w:pPr>
              <w:rPr>
                <w:rFonts w:ascii="Arial" w:hAnsi="Arial" w:cs="Arial"/>
                <w:sz w:val="24"/>
                <w:szCs w:val="24"/>
              </w:rPr>
            </w:pPr>
          </w:p>
        </w:tc>
        <w:tc>
          <w:tcPr>
            <w:tcW w:w="8151" w:type="dxa"/>
          </w:tcPr>
          <w:p w:rsidR="00626B54" w:rsidRPr="00EB4EB9" w:rsidRDefault="00626B54" w:rsidP="00EB4EB9">
            <w:pPr>
              <w:pStyle w:val="Default"/>
              <w:rPr>
                <w:rFonts w:ascii="Arial" w:hAnsi="Arial" w:cs="Arial"/>
                <w:lang w:val="en-US"/>
              </w:rPr>
            </w:pPr>
          </w:p>
        </w:tc>
      </w:tr>
      <w:tr w:rsidR="00F72568" w:rsidRPr="00EB4EB9" w:rsidTr="00EB4EB9">
        <w:trPr>
          <w:trHeight w:val="286"/>
        </w:trPr>
        <w:tc>
          <w:tcPr>
            <w:tcW w:w="884" w:type="dxa"/>
          </w:tcPr>
          <w:p w:rsidR="00F72568" w:rsidRPr="00EB4EB9" w:rsidRDefault="00F72568" w:rsidP="00EB4EB9">
            <w:pPr>
              <w:rPr>
                <w:rFonts w:ascii="Arial" w:hAnsi="Arial" w:cs="Arial"/>
                <w:b/>
                <w:sz w:val="24"/>
                <w:szCs w:val="24"/>
              </w:rPr>
            </w:pPr>
            <w:r w:rsidRPr="00EB4EB9">
              <w:rPr>
                <w:rFonts w:ascii="Arial" w:hAnsi="Arial" w:cs="Arial"/>
                <w:b/>
                <w:sz w:val="24"/>
                <w:szCs w:val="24"/>
              </w:rPr>
              <w:t>2</w:t>
            </w:r>
          </w:p>
        </w:tc>
        <w:tc>
          <w:tcPr>
            <w:tcW w:w="8151" w:type="dxa"/>
          </w:tcPr>
          <w:p w:rsidR="00F72568" w:rsidRPr="00EB4EB9" w:rsidRDefault="00F72568" w:rsidP="00EB4EB9">
            <w:pPr>
              <w:rPr>
                <w:rFonts w:ascii="Arial" w:hAnsi="Arial" w:cs="Arial"/>
                <w:b/>
                <w:sz w:val="24"/>
                <w:szCs w:val="24"/>
                <w:lang w:val="en-US"/>
              </w:rPr>
            </w:pPr>
            <w:r w:rsidRPr="00EB4EB9">
              <w:rPr>
                <w:rFonts w:ascii="Arial" w:hAnsi="Arial" w:cs="Arial"/>
                <w:b/>
                <w:sz w:val="24"/>
                <w:szCs w:val="24"/>
                <w:lang w:val="en-US"/>
              </w:rPr>
              <w:t>Aims &amp; Objectives</w:t>
            </w:r>
          </w:p>
        </w:tc>
      </w:tr>
      <w:tr w:rsidR="00F72568" w:rsidRPr="00EB4EB9" w:rsidTr="00EB4EB9">
        <w:trPr>
          <w:trHeight w:val="364"/>
        </w:trPr>
        <w:tc>
          <w:tcPr>
            <w:tcW w:w="884" w:type="dxa"/>
          </w:tcPr>
          <w:p w:rsidR="00F72568" w:rsidRPr="00EB4EB9" w:rsidRDefault="00F72568" w:rsidP="00EB4EB9">
            <w:pPr>
              <w:rPr>
                <w:rFonts w:ascii="Arial" w:hAnsi="Arial" w:cs="Arial"/>
                <w:sz w:val="24"/>
                <w:szCs w:val="24"/>
              </w:rPr>
            </w:pPr>
            <w:r w:rsidRPr="00EB4EB9">
              <w:rPr>
                <w:rFonts w:ascii="Arial" w:hAnsi="Arial" w:cs="Arial"/>
                <w:sz w:val="24"/>
                <w:szCs w:val="24"/>
              </w:rPr>
              <w:t>2.1</w:t>
            </w:r>
          </w:p>
        </w:tc>
        <w:tc>
          <w:tcPr>
            <w:tcW w:w="8151" w:type="dxa"/>
          </w:tcPr>
          <w:p w:rsidR="00F72568" w:rsidRPr="00EB4EB9" w:rsidRDefault="00626B54" w:rsidP="00EB4EB9">
            <w:pPr>
              <w:jc w:val="both"/>
              <w:rPr>
                <w:rFonts w:ascii="Arial" w:hAnsi="Arial" w:cs="Arial"/>
                <w:sz w:val="24"/>
                <w:szCs w:val="24"/>
                <w:lang w:val="en-US"/>
              </w:rPr>
            </w:pPr>
            <w:r w:rsidRPr="00EB4EB9">
              <w:rPr>
                <w:rFonts w:ascii="Arial" w:hAnsi="Arial" w:cs="Arial"/>
                <w:sz w:val="24"/>
                <w:szCs w:val="24"/>
              </w:rPr>
              <w:t>The Association considers that the main principal aims and objectives of this policy are as follows:</w:t>
            </w:r>
          </w:p>
        </w:tc>
      </w:tr>
      <w:tr w:rsidR="00F72568" w:rsidRPr="00EB4EB9" w:rsidTr="00EB4EB9">
        <w:trPr>
          <w:trHeight w:val="364"/>
        </w:trPr>
        <w:tc>
          <w:tcPr>
            <w:tcW w:w="884" w:type="dxa"/>
          </w:tcPr>
          <w:p w:rsidR="00F72568" w:rsidRPr="00EB4EB9" w:rsidRDefault="00626B54" w:rsidP="00EB4EB9">
            <w:pPr>
              <w:rPr>
                <w:rFonts w:ascii="Arial" w:hAnsi="Arial" w:cs="Arial"/>
                <w:sz w:val="24"/>
                <w:szCs w:val="24"/>
              </w:rPr>
            </w:pPr>
            <w:r w:rsidRPr="00EB4EB9">
              <w:rPr>
                <w:rFonts w:ascii="Arial" w:hAnsi="Arial" w:cs="Arial"/>
                <w:sz w:val="24"/>
                <w:szCs w:val="24"/>
              </w:rPr>
              <w:t>2.2</w:t>
            </w:r>
          </w:p>
        </w:tc>
        <w:tc>
          <w:tcPr>
            <w:tcW w:w="8151" w:type="dxa"/>
          </w:tcPr>
          <w:p w:rsidR="00F72568" w:rsidRPr="00EB4EB9" w:rsidRDefault="00626B54" w:rsidP="00EB4EB9">
            <w:pPr>
              <w:autoSpaceDE w:val="0"/>
              <w:autoSpaceDN w:val="0"/>
              <w:adjustRightInd w:val="0"/>
              <w:spacing w:after="0" w:line="240" w:lineRule="auto"/>
              <w:jc w:val="both"/>
              <w:rPr>
                <w:rFonts w:ascii="Arial" w:hAnsi="Arial" w:cs="Arial"/>
                <w:color w:val="000000"/>
                <w:sz w:val="24"/>
                <w:szCs w:val="24"/>
              </w:rPr>
            </w:pPr>
            <w:r w:rsidRPr="00EB4EB9">
              <w:rPr>
                <w:rFonts w:ascii="Arial" w:hAnsi="Arial" w:cs="Arial"/>
                <w:color w:val="000000"/>
                <w:sz w:val="24"/>
                <w:szCs w:val="24"/>
              </w:rPr>
              <w:t xml:space="preserve">In setting rents, we aim to ensure that we set and maintain rental income at a level that guarantees the Association’s future </w:t>
            </w:r>
            <w:r w:rsidR="00467DAD" w:rsidRPr="00EB4EB9">
              <w:rPr>
                <w:rFonts w:ascii="Arial" w:hAnsi="Arial" w:cs="Arial"/>
                <w:color w:val="000000"/>
                <w:sz w:val="24"/>
                <w:szCs w:val="24"/>
              </w:rPr>
              <w:t>long-term</w:t>
            </w:r>
            <w:r w:rsidRPr="00EB4EB9">
              <w:rPr>
                <w:rFonts w:ascii="Arial" w:hAnsi="Arial" w:cs="Arial"/>
                <w:color w:val="000000"/>
                <w:sz w:val="24"/>
                <w:szCs w:val="24"/>
              </w:rPr>
              <w:t xml:space="preserve"> financial viability whilst taking account of affordability to current and future tenants, and comparability of rents charged by other social landlords for similar properties. </w:t>
            </w:r>
          </w:p>
          <w:p w:rsidR="00626B54" w:rsidRPr="00EB4EB9" w:rsidRDefault="00626B54" w:rsidP="00EB4EB9">
            <w:pPr>
              <w:autoSpaceDE w:val="0"/>
              <w:autoSpaceDN w:val="0"/>
              <w:adjustRightInd w:val="0"/>
              <w:spacing w:after="0" w:line="240" w:lineRule="auto"/>
              <w:jc w:val="both"/>
              <w:rPr>
                <w:rFonts w:ascii="Arial" w:hAnsi="Arial" w:cs="Arial"/>
                <w:color w:val="000000"/>
                <w:sz w:val="24"/>
                <w:szCs w:val="24"/>
              </w:rPr>
            </w:pPr>
          </w:p>
        </w:tc>
      </w:tr>
      <w:tr w:rsidR="00F72568" w:rsidRPr="00EB4EB9" w:rsidTr="00EB4EB9">
        <w:trPr>
          <w:trHeight w:val="658"/>
        </w:trPr>
        <w:tc>
          <w:tcPr>
            <w:tcW w:w="884" w:type="dxa"/>
          </w:tcPr>
          <w:p w:rsidR="00F72568" w:rsidRPr="00EB4EB9" w:rsidRDefault="00626B54" w:rsidP="00EB4EB9">
            <w:pPr>
              <w:rPr>
                <w:rFonts w:ascii="Arial" w:hAnsi="Arial" w:cs="Arial"/>
                <w:sz w:val="24"/>
                <w:szCs w:val="24"/>
              </w:rPr>
            </w:pPr>
            <w:r w:rsidRPr="00EB4EB9">
              <w:rPr>
                <w:rFonts w:ascii="Arial" w:hAnsi="Arial" w:cs="Arial"/>
                <w:sz w:val="24"/>
                <w:szCs w:val="24"/>
              </w:rPr>
              <w:t>2.3</w:t>
            </w:r>
          </w:p>
        </w:tc>
        <w:tc>
          <w:tcPr>
            <w:tcW w:w="8151" w:type="dxa"/>
          </w:tcPr>
          <w:p w:rsidR="00F72568" w:rsidRDefault="00626B54" w:rsidP="00EB4EB9">
            <w:pPr>
              <w:autoSpaceDE w:val="0"/>
              <w:autoSpaceDN w:val="0"/>
              <w:adjustRightInd w:val="0"/>
              <w:spacing w:after="0" w:line="240" w:lineRule="auto"/>
              <w:jc w:val="both"/>
              <w:rPr>
                <w:rFonts w:ascii="Arial" w:hAnsi="Arial" w:cs="Arial"/>
                <w:color w:val="000000"/>
                <w:sz w:val="24"/>
                <w:szCs w:val="24"/>
              </w:rPr>
            </w:pPr>
            <w:r w:rsidRPr="00EB4EB9">
              <w:rPr>
                <w:rFonts w:ascii="Arial" w:hAnsi="Arial" w:cs="Arial"/>
                <w:color w:val="000000"/>
                <w:sz w:val="24"/>
                <w:szCs w:val="24"/>
              </w:rPr>
              <w:t>In setting rents and other charges, Govan Housing Association will ensure every tenant and customer is treated fairly and with respect and receives fair access to housing and housing services (see also the Associations Equality, Diversity and Inclusion Policy)</w:t>
            </w:r>
            <w:r w:rsidR="00467DAD">
              <w:rPr>
                <w:rFonts w:ascii="Arial" w:hAnsi="Arial" w:cs="Arial"/>
                <w:color w:val="000000"/>
                <w:sz w:val="24"/>
                <w:szCs w:val="24"/>
              </w:rPr>
              <w:t>.</w:t>
            </w:r>
          </w:p>
          <w:p w:rsidR="00467DAD" w:rsidRPr="00EB4EB9" w:rsidRDefault="00467DAD" w:rsidP="00EB4EB9">
            <w:pPr>
              <w:autoSpaceDE w:val="0"/>
              <w:autoSpaceDN w:val="0"/>
              <w:adjustRightInd w:val="0"/>
              <w:spacing w:after="0" w:line="240" w:lineRule="auto"/>
              <w:jc w:val="both"/>
              <w:rPr>
                <w:rFonts w:ascii="Arial" w:hAnsi="Arial" w:cs="Arial"/>
                <w:color w:val="000000"/>
                <w:sz w:val="24"/>
                <w:szCs w:val="24"/>
              </w:rPr>
            </w:pPr>
          </w:p>
        </w:tc>
      </w:tr>
      <w:tr w:rsidR="00F72568" w:rsidRPr="00EB4EB9" w:rsidTr="00EB4EB9">
        <w:trPr>
          <w:trHeight w:val="250"/>
        </w:trPr>
        <w:tc>
          <w:tcPr>
            <w:tcW w:w="884" w:type="dxa"/>
          </w:tcPr>
          <w:p w:rsidR="00F72568" w:rsidRPr="00EB4EB9" w:rsidRDefault="00626B54" w:rsidP="00EB4EB9">
            <w:pPr>
              <w:rPr>
                <w:rFonts w:ascii="Arial" w:hAnsi="Arial" w:cs="Arial"/>
                <w:sz w:val="24"/>
                <w:szCs w:val="24"/>
              </w:rPr>
            </w:pPr>
            <w:r w:rsidRPr="00EB4EB9">
              <w:rPr>
                <w:rFonts w:ascii="Arial" w:hAnsi="Arial" w:cs="Arial"/>
                <w:sz w:val="24"/>
                <w:szCs w:val="24"/>
              </w:rPr>
              <w:t>2.4</w:t>
            </w:r>
          </w:p>
        </w:tc>
        <w:tc>
          <w:tcPr>
            <w:tcW w:w="8151" w:type="dxa"/>
          </w:tcPr>
          <w:p w:rsidR="00F72568" w:rsidRDefault="00626B54" w:rsidP="00EB4EB9">
            <w:pPr>
              <w:jc w:val="both"/>
              <w:rPr>
                <w:rFonts w:ascii="Arial" w:hAnsi="Arial" w:cs="Arial"/>
                <w:sz w:val="24"/>
                <w:szCs w:val="24"/>
              </w:rPr>
            </w:pPr>
            <w:r w:rsidRPr="00EB4EB9">
              <w:rPr>
                <w:rFonts w:ascii="Arial" w:hAnsi="Arial" w:cs="Arial"/>
                <w:sz w:val="24"/>
                <w:szCs w:val="24"/>
              </w:rPr>
              <w:t>To ensure the policy complies with good practice in relation to consulting tenants about rent setting levels on an annual basis.  This will include comparative figures of rent levels set by other RSL’s to allow tenants to assess reasonability by comparison as well as demonstrating to tenants about rent increases in ways that enable them to express informed views on options for different rent levels with clear information on what they mean for services and investment in homes.</w:t>
            </w:r>
          </w:p>
          <w:p w:rsidR="00EB4EB9" w:rsidRDefault="00EB4EB9" w:rsidP="00EB4EB9">
            <w:pPr>
              <w:jc w:val="both"/>
              <w:rPr>
                <w:rFonts w:ascii="Arial" w:hAnsi="Arial" w:cs="Arial"/>
                <w:sz w:val="24"/>
                <w:szCs w:val="24"/>
                <w:lang w:val="en-US"/>
              </w:rPr>
            </w:pPr>
          </w:p>
          <w:p w:rsidR="00467DAD" w:rsidRPr="00EB4EB9" w:rsidRDefault="00467DAD" w:rsidP="00EB4EB9">
            <w:pPr>
              <w:jc w:val="both"/>
              <w:rPr>
                <w:rFonts w:ascii="Arial" w:hAnsi="Arial" w:cs="Arial"/>
                <w:sz w:val="24"/>
                <w:szCs w:val="24"/>
                <w:lang w:val="en-US"/>
              </w:rPr>
            </w:pPr>
          </w:p>
        </w:tc>
      </w:tr>
      <w:tr w:rsidR="00F72568" w:rsidRPr="00EB4EB9" w:rsidTr="00EB4EB9">
        <w:trPr>
          <w:trHeight w:val="250"/>
        </w:trPr>
        <w:tc>
          <w:tcPr>
            <w:tcW w:w="884" w:type="dxa"/>
          </w:tcPr>
          <w:p w:rsidR="00F72568" w:rsidRPr="00EB4EB9" w:rsidRDefault="00F72568" w:rsidP="00EB4EB9">
            <w:pPr>
              <w:rPr>
                <w:rFonts w:ascii="Arial" w:hAnsi="Arial" w:cs="Arial"/>
                <w:b/>
                <w:sz w:val="24"/>
                <w:szCs w:val="24"/>
              </w:rPr>
            </w:pPr>
            <w:r w:rsidRPr="00EB4EB9">
              <w:rPr>
                <w:rFonts w:ascii="Arial" w:hAnsi="Arial" w:cs="Arial"/>
                <w:b/>
                <w:sz w:val="24"/>
                <w:szCs w:val="24"/>
              </w:rPr>
              <w:lastRenderedPageBreak/>
              <w:t>3</w:t>
            </w:r>
          </w:p>
        </w:tc>
        <w:tc>
          <w:tcPr>
            <w:tcW w:w="8151" w:type="dxa"/>
          </w:tcPr>
          <w:p w:rsidR="00F72568" w:rsidRPr="00EB4EB9" w:rsidRDefault="00626B54" w:rsidP="00EB4EB9">
            <w:pPr>
              <w:jc w:val="both"/>
              <w:rPr>
                <w:rFonts w:cs="Arial"/>
                <w:b/>
                <w:sz w:val="24"/>
                <w:szCs w:val="24"/>
              </w:rPr>
            </w:pPr>
            <w:r w:rsidRPr="00EB4EB9">
              <w:rPr>
                <w:rFonts w:ascii="Arial" w:hAnsi="Arial" w:cs="Arial"/>
                <w:b/>
                <w:sz w:val="24"/>
                <w:szCs w:val="24"/>
              </w:rPr>
              <w:t>Legal and Regulatory Framework</w:t>
            </w:r>
          </w:p>
        </w:tc>
      </w:tr>
      <w:tr w:rsidR="00F72568" w:rsidRPr="00EB4EB9" w:rsidTr="00EB4EB9">
        <w:trPr>
          <w:trHeight w:val="250"/>
        </w:trPr>
        <w:tc>
          <w:tcPr>
            <w:tcW w:w="884" w:type="dxa"/>
          </w:tcPr>
          <w:p w:rsidR="00F72568" w:rsidRPr="00EB4EB9" w:rsidRDefault="00626B54" w:rsidP="00EB4EB9">
            <w:pPr>
              <w:rPr>
                <w:rFonts w:ascii="Arial" w:hAnsi="Arial" w:cs="Arial"/>
                <w:sz w:val="24"/>
                <w:szCs w:val="24"/>
              </w:rPr>
            </w:pPr>
            <w:r w:rsidRPr="00EB4EB9">
              <w:rPr>
                <w:rFonts w:ascii="Arial" w:hAnsi="Arial" w:cs="Arial"/>
                <w:sz w:val="24"/>
                <w:szCs w:val="24"/>
              </w:rPr>
              <w:t>3.1</w:t>
            </w:r>
          </w:p>
        </w:tc>
        <w:tc>
          <w:tcPr>
            <w:tcW w:w="8151" w:type="dxa"/>
          </w:tcPr>
          <w:p w:rsidR="00F72568" w:rsidRPr="00EB4EB9" w:rsidRDefault="00626B54" w:rsidP="00EB4EB9">
            <w:pPr>
              <w:widowControl w:val="0"/>
              <w:autoSpaceDE w:val="0"/>
              <w:autoSpaceDN w:val="0"/>
              <w:adjustRightInd w:val="0"/>
              <w:ind w:left="4" w:hanging="4"/>
              <w:jc w:val="both"/>
              <w:rPr>
                <w:rFonts w:ascii="Arial" w:hAnsi="Arial" w:cs="Arial"/>
                <w:sz w:val="24"/>
                <w:szCs w:val="24"/>
              </w:rPr>
            </w:pPr>
            <w:r w:rsidRPr="00EB4EB9">
              <w:rPr>
                <w:rFonts w:ascii="Arial" w:hAnsi="Arial" w:cs="Arial"/>
                <w:sz w:val="24"/>
                <w:szCs w:val="24"/>
              </w:rPr>
              <w:t>The Rent Setting Policy complies with legislation, guidance and</w:t>
            </w:r>
            <w:r w:rsidR="008D5ABC" w:rsidRPr="00EB4EB9">
              <w:rPr>
                <w:rFonts w:ascii="Arial" w:hAnsi="Arial" w:cs="Arial"/>
                <w:sz w:val="24"/>
                <w:szCs w:val="24"/>
              </w:rPr>
              <w:t xml:space="preserve"> </w:t>
            </w:r>
            <w:r w:rsidRPr="00EB4EB9">
              <w:rPr>
                <w:rFonts w:ascii="Arial" w:hAnsi="Arial" w:cs="Arial"/>
                <w:sz w:val="24"/>
                <w:szCs w:val="24"/>
              </w:rPr>
              <w:t>practice, including</w:t>
            </w:r>
            <w:r w:rsidR="00467DAD">
              <w:rPr>
                <w:rFonts w:ascii="Arial" w:hAnsi="Arial" w:cs="Arial"/>
                <w:sz w:val="24"/>
                <w:szCs w:val="24"/>
              </w:rPr>
              <w:t>:</w:t>
            </w:r>
            <w:r w:rsidRPr="00EB4EB9">
              <w:rPr>
                <w:rFonts w:ascii="Arial" w:hAnsi="Arial" w:cs="Arial"/>
                <w:sz w:val="24"/>
                <w:szCs w:val="24"/>
              </w:rPr>
              <w:t xml:space="preserve"> </w:t>
            </w:r>
          </w:p>
        </w:tc>
      </w:tr>
      <w:tr w:rsidR="00626B54" w:rsidRPr="00EB4EB9" w:rsidTr="00EB4EB9">
        <w:trPr>
          <w:trHeight w:val="250"/>
        </w:trPr>
        <w:tc>
          <w:tcPr>
            <w:tcW w:w="884" w:type="dxa"/>
          </w:tcPr>
          <w:p w:rsidR="00626B54" w:rsidRPr="00EB4EB9" w:rsidRDefault="00626B54" w:rsidP="00EB4EB9">
            <w:pPr>
              <w:rPr>
                <w:rFonts w:ascii="Arial" w:hAnsi="Arial" w:cs="Arial"/>
                <w:sz w:val="24"/>
                <w:szCs w:val="24"/>
              </w:rPr>
            </w:pPr>
          </w:p>
        </w:tc>
        <w:tc>
          <w:tcPr>
            <w:tcW w:w="8151" w:type="dxa"/>
          </w:tcPr>
          <w:p w:rsidR="00626B54" w:rsidRPr="00EB4EB9" w:rsidRDefault="00626B54" w:rsidP="00EB4EB9">
            <w:pPr>
              <w:pStyle w:val="Default"/>
              <w:jc w:val="both"/>
              <w:rPr>
                <w:rFonts w:ascii="Arial" w:hAnsi="Arial" w:cs="Arial"/>
                <w:color w:val="auto"/>
              </w:rPr>
            </w:pPr>
            <w:r w:rsidRPr="00EB4EB9">
              <w:rPr>
                <w:rFonts w:ascii="Arial" w:hAnsi="Arial" w:cs="Arial"/>
                <w:color w:val="auto"/>
              </w:rPr>
              <w:t>The Housing (Scotland) Act 2001 (Sections 25 &amp; 54) – Requires landlords to give each tenant not less than four weeks’ notice, in writing, before increasing rents or other charges. Where a landlord proposes to increase rents generally, it must first consult those tenants who would be affected.</w:t>
            </w:r>
          </w:p>
          <w:p w:rsidR="000F64A3" w:rsidRPr="00EB4EB9" w:rsidRDefault="000F64A3" w:rsidP="00EB4EB9">
            <w:pPr>
              <w:pStyle w:val="Default"/>
              <w:jc w:val="both"/>
              <w:rPr>
                <w:rFonts w:ascii="Arial" w:hAnsi="Arial" w:cs="Arial"/>
              </w:rPr>
            </w:pPr>
          </w:p>
        </w:tc>
      </w:tr>
      <w:tr w:rsidR="00F72568" w:rsidRPr="00EB4EB9" w:rsidTr="00EB4EB9">
        <w:trPr>
          <w:trHeight w:val="250"/>
        </w:trPr>
        <w:tc>
          <w:tcPr>
            <w:tcW w:w="884" w:type="dxa"/>
          </w:tcPr>
          <w:p w:rsidR="00F72568" w:rsidRPr="00EB4EB9" w:rsidRDefault="00F72568" w:rsidP="00EB4EB9">
            <w:pPr>
              <w:rPr>
                <w:rFonts w:ascii="Arial" w:hAnsi="Arial" w:cs="Arial"/>
                <w:sz w:val="24"/>
                <w:szCs w:val="24"/>
              </w:rPr>
            </w:pPr>
          </w:p>
        </w:tc>
        <w:tc>
          <w:tcPr>
            <w:tcW w:w="8151" w:type="dxa"/>
          </w:tcPr>
          <w:p w:rsidR="00626B54" w:rsidRPr="00EB4EB9" w:rsidRDefault="00626B54" w:rsidP="00EB4EB9">
            <w:pPr>
              <w:pStyle w:val="Default"/>
              <w:jc w:val="both"/>
              <w:rPr>
                <w:rFonts w:ascii="Arial" w:hAnsi="Arial" w:cs="Arial"/>
                <w:color w:val="auto"/>
              </w:rPr>
            </w:pPr>
            <w:r w:rsidRPr="00EB4EB9">
              <w:rPr>
                <w:rFonts w:ascii="Arial" w:hAnsi="Arial" w:cs="Arial"/>
                <w:b/>
                <w:color w:val="auto"/>
              </w:rPr>
              <w:t>Scottish Social Housing Charter</w:t>
            </w:r>
            <w:r w:rsidRPr="00EB4EB9">
              <w:rPr>
                <w:rFonts w:ascii="Arial" w:hAnsi="Arial" w:cs="Arial"/>
                <w:color w:val="auto"/>
              </w:rPr>
              <w:t xml:space="preserve">  </w:t>
            </w:r>
          </w:p>
          <w:p w:rsidR="00626B54" w:rsidRPr="00EB4EB9" w:rsidRDefault="00626B54" w:rsidP="00EB4EB9">
            <w:pPr>
              <w:pStyle w:val="Default"/>
              <w:jc w:val="both"/>
              <w:rPr>
                <w:rFonts w:ascii="Arial" w:hAnsi="Arial" w:cs="Arial"/>
                <w:color w:val="auto"/>
              </w:rPr>
            </w:pPr>
          </w:p>
          <w:p w:rsidR="00626B54" w:rsidRPr="00EB4EB9" w:rsidRDefault="00626B54" w:rsidP="00EB4EB9">
            <w:pPr>
              <w:jc w:val="both"/>
              <w:rPr>
                <w:rFonts w:ascii="Arial" w:hAnsi="Arial" w:cs="Arial"/>
                <w:sz w:val="24"/>
                <w:szCs w:val="24"/>
              </w:rPr>
            </w:pPr>
            <w:r w:rsidRPr="00EB4EB9">
              <w:rPr>
                <w:rFonts w:ascii="Arial" w:hAnsi="Arial" w:cs="Arial"/>
                <w:sz w:val="24"/>
                <w:szCs w:val="24"/>
              </w:rPr>
              <w:t xml:space="preserve">The Scottish Government, through the Social Housing Charter, sets the outcomes it expects social landlords to achieve for its residents. In terms of how rent and service charges are applied the relevant Social Housing Charter indicators include: </w:t>
            </w:r>
          </w:p>
          <w:p w:rsidR="00626B54" w:rsidRPr="00EB4EB9" w:rsidRDefault="00626B54" w:rsidP="00EB4EB9">
            <w:pPr>
              <w:jc w:val="both"/>
              <w:rPr>
                <w:rFonts w:ascii="Arial" w:hAnsi="Arial" w:cs="Arial"/>
                <w:sz w:val="24"/>
                <w:szCs w:val="24"/>
              </w:rPr>
            </w:pPr>
            <w:r w:rsidRPr="00EB4EB9">
              <w:rPr>
                <w:rFonts w:ascii="Arial" w:hAnsi="Arial" w:cs="Arial"/>
                <w:sz w:val="24"/>
                <w:szCs w:val="24"/>
              </w:rPr>
              <w:t xml:space="preserve">Outcome 13 –Tenants, owners and other customers receive services that provide continually improving value for the rent and other charges they pay. </w:t>
            </w:r>
          </w:p>
          <w:p w:rsidR="00626B54" w:rsidRPr="00EB4EB9" w:rsidRDefault="00626B54" w:rsidP="00EB4EB9">
            <w:pPr>
              <w:jc w:val="both"/>
              <w:rPr>
                <w:rFonts w:ascii="Arial" w:hAnsi="Arial" w:cs="Arial"/>
                <w:sz w:val="24"/>
                <w:szCs w:val="24"/>
              </w:rPr>
            </w:pPr>
            <w:r w:rsidRPr="00EB4EB9">
              <w:rPr>
                <w:rFonts w:ascii="Arial" w:hAnsi="Arial" w:cs="Arial"/>
                <w:sz w:val="24"/>
                <w:szCs w:val="24"/>
              </w:rPr>
              <w:t xml:space="preserve">Outcome 14 – Social Landlords set rents and service charges in consultation with their tenants and other customers so that a balance is struck between the level of services, and how far current and prospective tenants and other customers can afford them. </w:t>
            </w:r>
          </w:p>
          <w:p w:rsidR="00F72568" w:rsidRPr="00EB4EB9" w:rsidRDefault="00626B54" w:rsidP="00EB4EB9">
            <w:pPr>
              <w:jc w:val="both"/>
              <w:rPr>
                <w:rFonts w:cs="Arial"/>
                <w:sz w:val="24"/>
                <w:szCs w:val="24"/>
              </w:rPr>
            </w:pPr>
            <w:r w:rsidRPr="00EB4EB9">
              <w:rPr>
                <w:rFonts w:ascii="Arial" w:hAnsi="Arial" w:cs="Arial"/>
                <w:sz w:val="24"/>
                <w:szCs w:val="24"/>
              </w:rPr>
              <w:t>Outcome 15 – Tenants get clear information on how rent and other money is spent, including any details of individual items of expenditure above thresholds agreed between landlord and tenants.</w:t>
            </w:r>
          </w:p>
        </w:tc>
      </w:tr>
      <w:tr w:rsidR="00626B54" w:rsidRPr="00EB4EB9" w:rsidTr="00EB4EB9">
        <w:trPr>
          <w:trHeight w:val="250"/>
        </w:trPr>
        <w:tc>
          <w:tcPr>
            <w:tcW w:w="884" w:type="dxa"/>
          </w:tcPr>
          <w:p w:rsidR="00626B54" w:rsidRPr="00EB4EB9" w:rsidRDefault="00626B54" w:rsidP="00EB4EB9">
            <w:pPr>
              <w:rPr>
                <w:rFonts w:ascii="Arial" w:hAnsi="Arial" w:cs="Arial"/>
                <w:sz w:val="24"/>
                <w:szCs w:val="24"/>
              </w:rPr>
            </w:pPr>
          </w:p>
        </w:tc>
        <w:tc>
          <w:tcPr>
            <w:tcW w:w="8151" w:type="dxa"/>
          </w:tcPr>
          <w:p w:rsidR="00626B54" w:rsidRPr="00EB4EB9" w:rsidRDefault="00626B54" w:rsidP="00EB4EB9">
            <w:pPr>
              <w:pStyle w:val="Default"/>
              <w:jc w:val="both"/>
              <w:rPr>
                <w:rFonts w:ascii="Arial" w:hAnsi="Arial" w:cs="Arial"/>
                <w:color w:val="auto"/>
                <w:shd w:val="clear" w:color="auto" w:fill="FFFFFF"/>
              </w:rPr>
            </w:pPr>
            <w:r w:rsidRPr="00EB4EB9">
              <w:rPr>
                <w:rFonts w:ascii="Arial" w:hAnsi="Arial" w:cs="Arial"/>
                <w:b/>
                <w:color w:val="auto"/>
              </w:rPr>
              <w:t>Data Protection Act 2018</w:t>
            </w:r>
            <w:r w:rsidRPr="00EB4EB9">
              <w:rPr>
                <w:rFonts w:ascii="Arial" w:hAnsi="Arial" w:cs="Arial"/>
                <w:color w:val="auto"/>
              </w:rPr>
              <w:t xml:space="preserve"> - </w:t>
            </w:r>
            <w:r w:rsidRPr="00EB4EB9">
              <w:rPr>
                <w:rFonts w:ascii="Arial" w:hAnsi="Arial" w:cs="Arial"/>
                <w:color w:val="auto"/>
                <w:shd w:val="clear" w:color="auto" w:fill="FFFFFF"/>
              </w:rPr>
              <w:t>Defines UK law on the processing of data on people. It is the main piece of legislation that governs the</w:t>
            </w:r>
            <w:r w:rsidRPr="00EB4EB9">
              <w:rPr>
                <w:rStyle w:val="apple-converted-space"/>
                <w:rFonts w:ascii="Arial" w:hAnsi="Arial" w:cs="Arial"/>
                <w:color w:val="auto"/>
                <w:shd w:val="clear" w:color="auto" w:fill="FFFFFF"/>
              </w:rPr>
              <w:t> </w:t>
            </w:r>
            <w:r w:rsidRPr="00EB4EB9">
              <w:rPr>
                <w:rFonts w:ascii="Arial" w:hAnsi="Arial" w:cs="Arial"/>
                <w:color w:val="auto"/>
                <w:shd w:val="clear" w:color="auto" w:fill="FFFFFF"/>
              </w:rPr>
              <w:t>protection of personal data</w:t>
            </w:r>
            <w:r w:rsidRPr="00EB4EB9">
              <w:rPr>
                <w:rStyle w:val="apple-converted-space"/>
                <w:rFonts w:ascii="Arial" w:hAnsi="Arial" w:cs="Arial"/>
                <w:color w:val="auto"/>
                <w:shd w:val="clear" w:color="auto" w:fill="FFFFFF"/>
              </w:rPr>
              <w:t> </w:t>
            </w:r>
            <w:r w:rsidRPr="00EB4EB9">
              <w:rPr>
                <w:rFonts w:ascii="Arial" w:hAnsi="Arial" w:cs="Arial"/>
                <w:color w:val="auto"/>
                <w:shd w:val="clear" w:color="auto" w:fill="FFFFFF"/>
              </w:rPr>
              <w:t>in the UK.</w:t>
            </w:r>
          </w:p>
          <w:p w:rsidR="00626B54" w:rsidRPr="00EB4EB9" w:rsidRDefault="00626B54" w:rsidP="00EB4EB9">
            <w:pPr>
              <w:jc w:val="both"/>
              <w:rPr>
                <w:rFonts w:ascii="Arial" w:hAnsi="Arial" w:cs="Arial"/>
                <w:sz w:val="24"/>
                <w:szCs w:val="24"/>
              </w:rPr>
            </w:pPr>
          </w:p>
        </w:tc>
      </w:tr>
      <w:tr w:rsidR="00626B54" w:rsidRPr="00EB4EB9" w:rsidTr="00EB4EB9">
        <w:trPr>
          <w:trHeight w:val="250"/>
        </w:trPr>
        <w:tc>
          <w:tcPr>
            <w:tcW w:w="884" w:type="dxa"/>
          </w:tcPr>
          <w:p w:rsidR="00626B54" w:rsidRPr="00EB4EB9" w:rsidRDefault="00626B54" w:rsidP="00EB4EB9">
            <w:pPr>
              <w:rPr>
                <w:rFonts w:ascii="Arial" w:hAnsi="Arial" w:cs="Arial"/>
                <w:sz w:val="24"/>
                <w:szCs w:val="24"/>
              </w:rPr>
            </w:pPr>
          </w:p>
        </w:tc>
        <w:tc>
          <w:tcPr>
            <w:tcW w:w="8151" w:type="dxa"/>
          </w:tcPr>
          <w:p w:rsidR="00626B54" w:rsidRPr="00EB4EB9" w:rsidRDefault="00626B54" w:rsidP="00EB4EB9">
            <w:pPr>
              <w:jc w:val="both"/>
              <w:rPr>
                <w:rFonts w:ascii="Arial" w:hAnsi="Arial" w:cs="Arial"/>
                <w:sz w:val="24"/>
                <w:szCs w:val="24"/>
              </w:rPr>
            </w:pPr>
            <w:r w:rsidRPr="00EB4EB9">
              <w:rPr>
                <w:rFonts w:ascii="Arial" w:hAnsi="Arial" w:cs="Arial"/>
                <w:b/>
                <w:sz w:val="24"/>
                <w:szCs w:val="24"/>
              </w:rPr>
              <w:t>Equality Act 2010</w:t>
            </w:r>
            <w:r w:rsidRPr="00EB4EB9">
              <w:rPr>
                <w:rFonts w:ascii="Arial" w:hAnsi="Arial" w:cs="Arial"/>
                <w:sz w:val="24"/>
                <w:szCs w:val="24"/>
              </w:rPr>
              <w:t xml:space="preserve"> - </w:t>
            </w:r>
            <w:r w:rsidRPr="00EB4EB9">
              <w:rPr>
                <w:rFonts w:ascii="Arial" w:hAnsi="Arial" w:cs="Arial"/>
                <w:sz w:val="24"/>
                <w:szCs w:val="24"/>
                <w:shd w:val="clear" w:color="auto" w:fill="FFFFFF"/>
              </w:rPr>
              <w:t xml:space="preserve">Requires equal treatment in access to employment as well as private and public services, regardless of the protected characteristics of age, disability, gender reassignment, marriage and civil partnership, race, religion or belief, sex, and sexual </w:t>
            </w:r>
            <w:r w:rsidR="00467DAD">
              <w:rPr>
                <w:rFonts w:ascii="Arial" w:hAnsi="Arial" w:cs="Arial"/>
                <w:sz w:val="24"/>
                <w:szCs w:val="24"/>
                <w:shd w:val="clear" w:color="auto" w:fill="FFFFFF"/>
              </w:rPr>
              <w:t>orientation.</w:t>
            </w:r>
          </w:p>
        </w:tc>
      </w:tr>
      <w:tr w:rsidR="00626B54" w:rsidRPr="00EB4EB9" w:rsidTr="00EB4EB9">
        <w:trPr>
          <w:trHeight w:val="250"/>
        </w:trPr>
        <w:tc>
          <w:tcPr>
            <w:tcW w:w="884" w:type="dxa"/>
          </w:tcPr>
          <w:p w:rsidR="00626B54" w:rsidRPr="00EB4EB9" w:rsidRDefault="00626B54" w:rsidP="00EB4EB9">
            <w:pPr>
              <w:rPr>
                <w:rFonts w:ascii="Arial" w:hAnsi="Arial" w:cs="Arial"/>
                <w:sz w:val="24"/>
                <w:szCs w:val="24"/>
              </w:rPr>
            </w:pPr>
          </w:p>
        </w:tc>
        <w:tc>
          <w:tcPr>
            <w:tcW w:w="8151" w:type="dxa"/>
          </w:tcPr>
          <w:p w:rsidR="00A562B2" w:rsidRPr="00EB4EB9" w:rsidRDefault="00A562B2" w:rsidP="00EB4EB9">
            <w:pPr>
              <w:jc w:val="both"/>
              <w:rPr>
                <w:rFonts w:ascii="Arial" w:hAnsi="Arial" w:cs="Arial"/>
                <w:sz w:val="24"/>
                <w:szCs w:val="24"/>
              </w:rPr>
            </w:pPr>
          </w:p>
        </w:tc>
      </w:tr>
      <w:tr w:rsidR="00F72568" w:rsidRPr="00EB4EB9" w:rsidTr="00EB4EB9">
        <w:trPr>
          <w:trHeight w:val="250"/>
        </w:trPr>
        <w:tc>
          <w:tcPr>
            <w:tcW w:w="884" w:type="dxa"/>
          </w:tcPr>
          <w:p w:rsidR="00F72568" w:rsidRPr="00EB4EB9" w:rsidRDefault="00D30F6F" w:rsidP="00EB4EB9">
            <w:pPr>
              <w:rPr>
                <w:rFonts w:ascii="Arial" w:hAnsi="Arial" w:cs="Arial"/>
                <w:sz w:val="24"/>
                <w:szCs w:val="24"/>
              </w:rPr>
            </w:pPr>
            <w:r w:rsidRPr="00EB4EB9">
              <w:rPr>
                <w:rFonts w:ascii="Arial" w:hAnsi="Arial" w:cs="Arial"/>
                <w:b/>
                <w:sz w:val="24"/>
                <w:szCs w:val="24"/>
              </w:rPr>
              <w:t>4</w:t>
            </w:r>
          </w:p>
        </w:tc>
        <w:tc>
          <w:tcPr>
            <w:tcW w:w="8151" w:type="dxa"/>
          </w:tcPr>
          <w:p w:rsidR="00F72568" w:rsidRPr="00EB4EB9" w:rsidRDefault="00D30F6F" w:rsidP="00EB4EB9">
            <w:pPr>
              <w:jc w:val="both"/>
              <w:rPr>
                <w:rFonts w:ascii="Arial" w:hAnsi="Arial" w:cs="Arial"/>
                <w:sz w:val="24"/>
                <w:szCs w:val="24"/>
              </w:rPr>
            </w:pPr>
            <w:r w:rsidRPr="00EB4EB9">
              <w:rPr>
                <w:rFonts w:ascii="Arial" w:hAnsi="Arial" w:cs="Arial"/>
                <w:b/>
                <w:sz w:val="24"/>
                <w:szCs w:val="24"/>
              </w:rPr>
              <w:t>Rent Affordability</w:t>
            </w:r>
          </w:p>
        </w:tc>
      </w:tr>
      <w:tr w:rsidR="00F72568" w:rsidRPr="00EB4EB9" w:rsidTr="00EB4EB9">
        <w:trPr>
          <w:trHeight w:val="250"/>
        </w:trPr>
        <w:tc>
          <w:tcPr>
            <w:tcW w:w="884" w:type="dxa"/>
          </w:tcPr>
          <w:p w:rsidR="00F72568" w:rsidRPr="00EB4EB9" w:rsidRDefault="005D272A" w:rsidP="00EB4EB9">
            <w:pPr>
              <w:rPr>
                <w:rFonts w:ascii="Arial" w:hAnsi="Arial" w:cs="Arial"/>
                <w:sz w:val="24"/>
                <w:szCs w:val="24"/>
              </w:rPr>
            </w:pPr>
            <w:r w:rsidRPr="00EB4EB9">
              <w:rPr>
                <w:rFonts w:ascii="Arial" w:hAnsi="Arial" w:cs="Arial"/>
                <w:sz w:val="24"/>
                <w:szCs w:val="24"/>
              </w:rPr>
              <w:t>4.1</w:t>
            </w:r>
          </w:p>
        </w:tc>
        <w:tc>
          <w:tcPr>
            <w:tcW w:w="8151" w:type="dxa"/>
          </w:tcPr>
          <w:p w:rsidR="00F72568" w:rsidRPr="00EB4EB9" w:rsidRDefault="00D30F6F" w:rsidP="00EB4EB9">
            <w:pPr>
              <w:jc w:val="both"/>
              <w:rPr>
                <w:rFonts w:ascii="Arial" w:hAnsi="Arial" w:cs="Arial"/>
                <w:b/>
                <w:sz w:val="24"/>
                <w:szCs w:val="24"/>
              </w:rPr>
            </w:pPr>
            <w:r w:rsidRPr="00EB4EB9">
              <w:rPr>
                <w:rFonts w:ascii="Arial" w:hAnsi="Arial" w:cs="Arial"/>
                <w:sz w:val="24"/>
                <w:szCs w:val="24"/>
                <w:shd w:val="clear" w:color="auto" w:fill="FFFFFF"/>
              </w:rPr>
              <w:t xml:space="preserve">Rent affordability is a complex matter and we recognise that we must set rents that take account of affordability, the costs of managing and maintaining our properties, comparability with other RSL’s in the area and be able to service existing loans and fulfil contractual obligations.  We </w:t>
            </w:r>
            <w:r w:rsidRPr="00EB4EB9">
              <w:rPr>
                <w:rFonts w:ascii="Arial" w:hAnsi="Arial" w:cs="Arial"/>
                <w:sz w:val="24"/>
                <w:szCs w:val="24"/>
                <w:shd w:val="clear" w:color="auto" w:fill="FFFFFF"/>
              </w:rPr>
              <w:lastRenderedPageBreak/>
              <w:t>recognise that we must have a fair and consistent system for determining rents between individual properties</w:t>
            </w:r>
            <w:r w:rsidR="00467DAD">
              <w:rPr>
                <w:rFonts w:ascii="Arial" w:hAnsi="Arial" w:cs="Arial"/>
                <w:sz w:val="24"/>
                <w:szCs w:val="24"/>
                <w:shd w:val="clear" w:color="auto" w:fill="FFFFFF"/>
              </w:rPr>
              <w:t>.</w:t>
            </w:r>
          </w:p>
        </w:tc>
      </w:tr>
      <w:tr w:rsidR="00D30F6F" w:rsidRPr="00EB4EB9" w:rsidTr="00EB4EB9">
        <w:trPr>
          <w:trHeight w:val="250"/>
        </w:trPr>
        <w:tc>
          <w:tcPr>
            <w:tcW w:w="884" w:type="dxa"/>
          </w:tcPr>
          <w:p w:rsidR="00D30F6F" w:rsidRPr="00EB4EB9" w:rsidRDefault="005D272A" w:rsidP="00EB4EB9">
            <w:pPr>
              <w:rPr>
                <w:rFonts w:ascii="Arial" w:hAnsi="Arial" w:cs="Arial"/>
                <w:sz w:val="24"/>
                <w:szCs w:val="24"/>
              </w:rPr>
            </w:pPr>
            <w:r w:rsidRPr="00EB4EB9">
              <w:rPr>
                <w:rFonts w:ascii="Arial" w:hAnsi="Arial" w:cs="Arial"/>
                <w:sz w:val="24"/>
                <w:szCs w:val="24"/>
              </w:rPr>
              <w:lastRenderedPageBreak/>
              <w:t>4.2</w:t>
            </w:r>
          </w:p>
        </w:tc>
        <w:tc>
          <w:tcPr>
            <w:tcW w:w="8151" w:type="dxa"/>
          </w:tcPr>
          <w:p w:rsidR="00D30F6F" w:rsidRPr="00EB4EB9" w:rsidRDefault="005D272A" w:rsidP="00EB4EB9">
            <w:pPr>
              <w:jc w:val="both"/>
              <w:rPr>
                <w:rFonts w:ascii="Arial" w:hAnsi="Arial" w:cs="Arial"/>
                <w:b/>
                <w:sz w:val="24"/>
                <w:szCs w:val="24"/>
              </w:rPr>
            </w:pPr>
            <w:r w:rsidRPr="00EB4EB9">
              <w:rPr>
                <w:rFonts w:ascii="Arial" w:hAnsi="Arial" w:cs="Arial"/>
                <w:sz w:val="24"/>
                <w:szCs w:val="24"/>
              </w:rPr>
              <w:t xml:space="preserve">This rent policy will explain the criteria used in rent setting by the Association and how each part of the criteria is to be applied. </w:t>
            </w:r>
          </w:p>
        </w:tc>
      </w:tr>
      <w:tr w:rsidR="00F72568" w:rsidRPr="00EB4EB9" w:rsidTr="00EB4EB9">
        <w:trPr>
          <w:trHeight w:val="250"/>
        </w:trPr>
        <w:tc>
          <w:tcPr>
            <w:tcW w:w="884" w:type="dxa"/>
          </w:tcPr>
          <w:p w:rsidR="00F72568" w:rsidRPr="00EB4EB9" w:rsidRDefault="00F72568" w:rsidP="00EB4EB9">
            <w:pPr>
              <w:rPr>
                <w:rFonts w:ascii="Arial" w:hAnsi="Arial" w:cs="Arial"/>
                <w:sz w:val="24"/>
                <w:szCs w:val="24"/>
              </w:rPr>
            </w:pPr>
          </w:p>
        </w:tc>
        <w:tc>
          <w:tcPr>
            <w:tcW w:w="8151" w:type="dxa"/>
          </w:tcPr>
          <w:p w:rsidR="005D272A" w:rsidRPr="00EB4EB9" w:rsidRDefault="005D272A" w:rsidP="00EB4EB9">
            <w:pPr>
              <w:autoSpaceDE w:val="0"/>
              <w:autoSpaceDN w:val="0"/>
              <w:adjustRightInd w:val="0"/>
              <w:spacing w:after="0" w:line="240" w:lineRule="auto"/>
              <w:jc w:val="both"/>
              <w:rPr>
                <w:rFonts w:ascii="Arial" w:hAnsi="Arial" w:cs="Arial"/>
                <w:sz w:val="24"/>
                <w:szCs w:val="24"/>
              </w:rPr>
            </w:pPr>
            <w:r w:rsidRPr="00EB4EB9">
              <w:rPr>
                <w:rFonts w:ascii="Arial" w:hAnsi="Arial" w:cs="Arial"/>
                <w:b/>
                <w:sz w:val="24"/>
                <w:szCs w:val="24"/>
              </w:rPr>
              <w:t>Affordability:</w:t>
            </w:r>
            <w:r w:rsidRPr="00EB4EB9">
              <w:rPr>
                <w:rFonts w:ascii="Arial" w:hAnsi="Arial" w:cs="Arial"/>
                <w:sz w:val="24"/>
                <w:szCs w:val="24"/>
              </w:rPr>
              <w:t xml:space="preserve"> Govan HA is committed to trying to achieve rent levels which are affordable to all tenants no matter their income but will also need to ensure its financial viability. </w:t>
            </w:r>
          </w:p>
          <w:p w:rsidR="005D272A" w:rsidRPr="00EB4EB9" w:rsidRDefault="005D272A" w:rsidP="00EB4EB9">
            <w:pPr>
              <w:autoSpaceDE w:val="0"/>
              <w:autoSpaceDN w:val="0"/>
              <w:adjustRightInd w:val="0"/>
              <w:spacing w:after="0" w:line="240" w:lineRule="auto"/>
              <w:jc w:val="both"/>
              <w:rPr>
                <w:rFonts w:ascii="Arial" w:hAnsi="Arial" w:cs="Arial"/>
                <w:sz w:val="24"/>
                <w:szCs w:val="24"/>
              </w:rPr>
            </w:pPr>
          </w:p>
          <w:p w:rsidR="005D272A" w:rsidRPr="00EB4EB9" w:rsidRDefault="005D272A" w:rsidP="00EB4EB9">
            <w:pPr>
              <w:jc w:val="both"/>
              <w:rPr>
                <w:rFonts w:ascii="Arial" w:hAnsi="Arial" w:cs="Arial"/>
                <w:sz w:val="24"/>
                <w:szCs w:val="24"/>
              </w:rPr>
            </w:pPr>
            <w:r w:rsidRPr="00EB4EB9">
              <w:rPr>
                <w:rFonts w:ascii="Arial" w:hAnsi="Arial" w:cs="Arial"/>
                <w:sz w:val="24"/>
                <w:szCs w:val="24"/>
              </w:rPr>
              <w:t xml:space="preserve">There is no professionally agreed definition of affordable rents.  A key aim of this policy is to set rents which are affordable and take account of people on low incomes. </w:t>
            </w:r>
          </w:p>
          <w:p w:rsidR="004D5652" w:rsidRPr="00EB4EB9" w:rsidRDefault="005D272A" w:rsidP="00EB4EB9">
            <w:pPr>
              <w:jc w:val="both"/>
              <w:rPr>
                <w:rFonts w:ascii="Arial" w:hAnsi="Arial" w:cs="Arial"/>
                <w:sz w:val="24"/>
                <w:szCs w:val="24"/>
              </w:rPr>
            </w:pPr>
            <w:r w:rsidRPr="00EB4EB9">
              <w:rPr>
                <w:rFonts w:ascii="Arial" w:hAnsi="Arial" w:cs="Arial"/>
                <w:sz w:val="24"/>
                <w:szCs w:val="24"/>
              </w:rPr>
              <w:t>Assessments of affordability are dependent on household type and the link with the DWP benefits and universal credits systems.  This is why it is difficult to identify a single measure of affordability which is suitable across all household types.</w:t>
            </w:r>
            <w:r w:rsidRPr="00EB4EB9">
              <w:rPr>
                <w:rFonts w:cs="Arial"/>
                <w:color w:val="FF0000"/>
                <w:sz w:val="24"/>
                <w:szCs w:val="24"/>
              </w:rPr>
              <w:t xml:space="preserve"> </w:t>
            </w:r>
            <w:r w:rsidR="004D5652" w:rsidRPr="00EB4EB9">
              <w:rPr>
                <w:rFonts w:cs="Arial"/>
                <w:color w:val="FF0000"/>
                <w:sz w:val="24"/>
                <w:szCs w:val="24"/>
              </w:rPr>
              <w:t xml:space="preserve"> </w:t>
            </w:r>
            <w:r w:rsidR="004D5652" w:rsidRPr="00EB4EB9">
              <w:rPr>
                <w:rFonts w:ascii="Arial" w:hAnsi="Arial" w:cs="Arial"/>
                <w:sz w:val="24"/>
                <w:szCs w:val="24"/>
              </w:rPr>
              <w:t>However good practice indicators suggested by SFHA and Housemark ‘New Rent Affordability Tool 2018</w:t>
            </w:r>
            <w:r w:rsidR="00467DAD" w:rsidRPr="00EB4EB9">
              <w:rPr>
                <w:rFonts w:ascii="Arial" w:hAnsi="Arial" w:cs="Arial"/>
                <w:sz w:val="24"/>
                <w:szCs w:val="24"/>
              </w:rPr>
              <w:t>’ have been</w:t>
            </w:r>
            <w:r w:rsidR="004D5652" w:rsidRPr="00EB4EB9">
              <w:rPr>
                <w:rFonts w:ascii="Arial" w:hAnsi="Arial" w:cs="Arial"/>
                <w:sz w:val="24"/>
                <w:szCs w:val="24"/>
              </w:rPr>
              <w:t xml:space="preserve"> taken into </w:t>
            </w:r>
            <w:r w:rsidR="00467DAD" w:rsidRPr="00EB4EB9">
              <w:rPr>
                <w:rFonts w:ascii="Arial" w:hAnsi="Arial" w:cs="Arial"/>
                <w:sz w:val="24"/>
                <w:szCs w:val="24"/>
              </w:rPr>
              <w:t>account when</w:t>
            </w:r>
            <w:r w:rsidR="00C230DD" w:rsidRPr="00EB4EB9">
              <w:rPr>
                <w:rFonts w:ascii="Arial" w:hAnsi="Arial" w:cs="Arial"/>
                <w:sz w:val="24"/>
                <w:szCs w:val="24"/>
              </w:rPr>
              <w:t xml:space="preserve"> </w:t>
            </w:r>
            <w:r w:rsidR="004D5652" w:rsidRPr="00EB4EB9">
              <w:rPr>
                <w:rFonts w:ascii="Arial" w:hAnsi="Arial" w:cs="Arial"/>
                <w:sz w:val="24"/>
                <w:szCs w:val="24"/>
              </w:rPr>
              <w:t xml:space="preserve">developing this policy. The Tool calculates five measures to test rent affordability: </w:t>
            </w:r>
          </w:p>
          <w:p w:rsidR="004D5652" w:rsidRPr="00EB4EB9" w:rsidRDefault="004D5652" w:rsidP="00EB4EB9">
            <w:pPr>
              <w:jc w:val="both"/>
              <w:rPr>
                <w:rFonts w:ascii="Arial" w:hAnsi="Arial" w:cs="Arial"/>
                <w:sz w:val="24"/>
                <w:szCs w:val="24"/>
              </w:rPr>
            </w:pPr>
            <w:r w:rsidRPr="00EB4EB9">
              <w:rPr>
                <w:rFonts w:ascii="Arial" w:hAnsi="Arial" w:cs="Arial"/>
                <w:sz w:val="24"/>
                <w:szCs w:val="24"/>
              </w:rPr>
              <w:t xml:space="preserve">● % of income </w:t>
            </w:r>
          </w:p>
          <w:p w:rsidR="004D5652" w:rsidRPr="00EB4EB9" w:rsidRDefault="004D5652" w:rsidP="00EB4EB9">
            <w:pPr>
              <w:jc w:val="both"/>
              <w:rPr>
                <w:rFonts w:ascii="Arial" w:hAnsi="Arial" w:cs="Arial"/>
                <w:sz w:val="24"/>
                <w:szCs w:val="24"/>
              </w:rPr>
            </w:pPr>
            <w:r w:rsidRPr="00EB4EB9">
              <w:rPr>
                <w:rFonts w:ascii="Arial" w:hAnsi="Arial" w:cs="Arial"/>
                <w:sz w:val="24"/>
                <w:szCs w:val="24"/>
              </w:rPr>
              <w:t xml:space="preserve">● % of market rent comparison </w:t>
            </w:r>
          </w:p>
          <w:p w:rsidR="004D5652" w:rsidRPr="00EB4EB9" w:rsidRDefault="004D5652" w:rsidP="00EB4EB9">
            <w:pPr>
              <w:jc w:val="both"/>
              <w:rPr>
                <w:rFonts w:ascii="Arial" w:hAnsi="Arial" w:cs="Arial"/>
                <w:sz w:val="24"/>
                <w:szCs w:val="24"/>
              </w:rPr>
            </w:pPr>
            <w:r w:rsidRPr="00EB4EB9">
              <w:rPr>
                <w:rFonts w:ascii="Arial" w:hAnsi="Arial" w:cs="Arial"/>
                <w:sz w:val="24"/>
                <w:szCs w:val="24"/>
              </w:rPr>
              <w:t xml:space="preserve">● % of LHA rate </w:t>
            </w:r>
          </w:p>
          <w:p w:rsidR="004D5652" w:rsidRPr="00EB4EB9" w:rsidRDefault="004D5652" w:rsidP="00EB4EB9">
            <w:pPr>
              <w:jc w:val="both"/>
              <w:rPr>
                <w:rFonts w:ascii="Arial" w:hAnsi="Arial" w:cs="Arial"/>
                <w:sz w:val="24"/>
                <w:szCs w:val="24"/>
              </w:rPr>
            </w:pPr>
            <w:r w:rsidRPr="00EB4EB9">
              <w:rPr>
                <w:rFonts w:ascii="Arial" w:hAnsi="Arial" w:cs="Arial"/>
                <w:sz w:val="24"/>
                <w:szCs w:val="24"/>
              </w:rPr>
              <w:t xml:space="preserve">● Income after rent; and </w:t>
            </w:r>
          </w:p>
          <w:p w:rsidR="004D5652" w:rsidRPr="00EB4EB9" w:rsidRDefault="004D5652" w:rsidP="00EB4EB9">
            <w:pPr>
              <w:jc w:val="both"/>
              <w:rPr>
                <w:rFonts w:ascii="Arial" w:hAnsi="Arial" w:cs="Arial"/>
                <w:sz w:val="24"/>
                <w:szCs w:val="24"/>
              </w:rPr>
            </w:pPr>
            <w:r w:rsidRPr="00EB4EB9">
              <w:rPr>
                <w:rFonts w:ascii="Arial" w:hAnsi="Arial" w:cs="Arial"/>
                <w:sz w:val="24"/>
                <w:szCs w:val="24"/>
              </w:rPr>
              <w:t>● Income after rent above Minimum Income Standard (MIS)</w:t>
            </w:r>
          </w:p>
        </w:tc>
      </w:tr>
      <w:tr w:rsidR="00D30F6F" w:rsidRPr="00EB4EB9" w:rsidTr="00EB4EB9">
        <w:trPr>
          <w:trHeight w:val="250"/>
        </w:trPr>
        <w:tc>
          <w:tcPr>
            <w:tcW w:w="884" w:type="dxa"/>
          </w:tcPr>
          <w:p w:rsidR="00D30F6F" w:rsidRPr="00EB4EB9" w:rsidRDefault="00D30F6F" w:rsidP="00EB4EB9">
            <w:pPr>
              <w:rPr>
                <w:rFonts w:ascii="Arial" w:hAnsi="Arial" w:cs="Arial"/>
                <w:sz w:val="24"/>
                <w:szCs w:val="24"/>
              </w:rPr>
            </w:pPr>
          </w:p>
        </w:tc>
        <w:tc>
          <w:tcPr>
            <w:tcW w:w="8151" w:type="dxa"/>
          </w:tcPr>
          <w:p w:rsidR="005D272A" w:rsidRPr="00EB4EB9" w:rsidRDefault="005D272A" w:rsidP="00EB4EB9">
            <w:pPr>
              <w:autoSpaceDE w:val="0"/>
              <w:autoSpaceDN w:val="0"/>
              <w:adjustRightInd w:val="0"/>
              <w:ind w:left="1" w:firstLine="1"/>
              <w:jc w:val="both"/>
              <w:rPr>
                <w:rFonts w:ascii="Arial" w:hAnsi="Arial" w:cs="Arial"/>
                <w:sz w:val="24"/>
                <w:szCs w:val="24"/>
                <w:lang w:eastAsia="en-GB"/>
              </w:rPr>
            </w:pPr>
            <w:r w:rsidRPr="00EB4EB9">
              <w:rPr>
                <w:rFonts w:ascii="Arial" w:hAnsi="Arial" w:cs="Arial"/>
                <w:b/>
                <w:sz w:val="24"/>
                <w:szCs w:val="24"/>
                <w:lang w:eastAsia="en-GB"/>
              </w:rPr>
              <w:t>Viability:</w:t>
            </w:r>
            <w:r w:rsidRPr="00EB4EB9">
              <w:rPr>
                <w:rFonts w:ascii="Arial" w:hAnsi="Arial" w:cs="Arial"/>
                <w:sz w:val="24"/>
                <w:szCs w:val="24"/>
                <w:lang w:eastAsia="en-GB"/>
              </w:rPr>
              <w:t xml:space="preserve"> In line with the terms of the Scottish Secure Tenancy Agreement the rent charge will be reviewed annually.</w:t>
            </w:r>
          </w:p>
          <w:p w:rsidR="005D272A" w:rsidRPr="00EB4EB9" w:rsidRDefault="005D272A" w:rsidP="00EB4EB9">
            <w:pPr>
              <w:autoSpaceDE w:val="0"/>
              <w:autoSpaceDN w:val="0"/>
              <w:adjustRightInd w:val="0"/>
              <w:ind w:left="2"/>
              <w:jc w:val="both"/>
              <w:rPr>
                <w:rFonts w:ascii="Arial" w:hAnsi="Arial" w:cs="Arial"/>
                <w:sz w:val="24"/>
                <w:szCs w:val="24"/>
                <w:lang w:eastAsia="en-GB"/>
              </w:rPr>
            </w:pPr>
            <w:r w:rsidRPr="00EB4EB9">
              <w:rPr>
                <w:rFonts w:ascii="Arial" w:hAnsi="Arial" w:cs="Arial"/>
                <w:sz w:val="24"/>
                <w:szCs w:val="24"/>
                <w:lang w:eastAsia="en-GB"/>
              </w:rPr>
              <w:t xml:space="preserve">Govan Housing </w:t>
            </w:r>
            <w:r w:rsidR="00040914" w:rsidRPr="00EB4EB9">
              <w:rPr>
                <w:rFonts w:ascii="Arial" w:hAnsi="Arial" w:cs="Arial"/>
                <w:sz w:val="24"/>
                <w:szCs w:val="24"/>
                <w:lang w:eastAsia="en-GB"/>
              </w:rPr>
              <w:t>Association’s</w:t>
            </w:r>
            <w:r w:rsidRPr="00EB4EB9">
              <w:rPr>
                <w:rFonts w:ascii="Arial" w:hAnsi="Arial" w:cs="Arial"/>
                <w:sz w:val="24"/>
                <w:szCs w:val="24"/>
                <w:lang w:eastAsia="en-GB"/>
              </w:rPr>
              <w:t xml:space="preserve"> main source of income is from rent and one of the main objectives of our rent policy must be ensuring the </w:t>
            </w:r>
            <w:r w:rsidR="00467DAD" w:rsidRPr="00EB4EB9">
              <w:rPr>
                <w:rFonts w:ascii="Arial" w:hAnsi="Arial" w:cs="Arial"/>
                <w:sz w:val="24"/>
                <w:szCs w:val="24"/>
                <w:lang w:eastAsia="en-GB"/>
              </w:rPr>
              <w:t>long-term</w:t>
            </w:r>
            <w:r w:rsidRPr="00EB4EB9">
              <w:rPr>
                <w:rFonts w:ascii="Arial" w:hAnsi="Arial" w:cs="Arial"/>
                <w:sz w:val="24"/>
                <w:szCs w:val="24"/>
                <w:lang w:eastAsia="en-GB"/>
              </w:rPr>
              <w:t xml:space="preserve"> financial viability of the Association and protecting the standard of the homes and services provided to both our current and future tenants.</w:t>
            </w:r>
          </w:p>
          <w:p w:rsidR="00D30F6F" w:rsidRPr="00EB4EB9" w:rsidRDefault="009C70C5" w:rsidP="00EB4EB9">
            <w:pPr>
              <w:autoSpaceDE w:val="0"/>
              <w:autoSpaceDN w:val="0"/>
              <w:adjustRightInd w:val="0"/>
              <w:ind w:left="1" w:firstLine="1"/>
              <w:jc w:val="both"/>
              <w:rPr>
                <w:rFonts w:ascii="Arial" w:hAnsi="Arial" w:cs="Arial"/>
                <w:sz w:val="24"/>
                <w:szCs w:val="24"/>
                <w:lang w:eastAsia="en-GB"/>
              </w:rPr>
            </w:pPr>
            <w:r w:rsidRPr="00EB4EB9">
              <w:rPr>
                <w:rFonts w:ascii="Arial" w:hAnsi="Arial" w:cs="Arial"/>
                <w:color w:val="000000"/>
                <w:sz w:val="24"/>
                <w:szCs w:val="24"/>
              </w:rPr>
              <w:t xml:space="preserve">Following a full and realistic assessment of the relevant costs, rents will be set to meet those costs to ensure the </w:t>
            </w:r>
            <w:r w:rsidR="00467DAD" w:rsidRPr="00EB4EB9">
              <w:rPr>
                <w:rFonts w:ascii="Arial" w:hAnsi="Arial" w:cs="Arial"/>
                <w:color w:val="000000"/>
                <w:sz w:val="24"/>
                <w:szCs w:val="24"/>
              </w:rPr>
              <w:t>long-term</w:t>
            </w:r>
            <w:r w:rsidRPr="00EB4EB9">
              <w:rPr>
                <w:rFonts w:ascii="Arial" w:hAnsi="Arial" w:cs="Arial"/>
                <w:color w:val="000000"/>
                <w:sz w:val="24"/>
                <w:szCs w:val="24"/>
              </w:rPr>
              <w:t xml:space="preserve"> financial viability of the Association consistent with the Association’s commitment to providing a high quality management and maintenance service. </w:t>
            </w:r>
            <w:r w:rsidRPr="00EB4EB9">
              <w:rPr>
                <w:rFonts w:ascii="Arial" w:hAnsi="Arial" w:cs="Arial"/>
                <w:sz w:val="24"/>
                <w:szCs w:val="24"/>
                <w:lang w:eastAsia="en-GB"/>
              </w:rPr>
              <w:t xml:space="preserve">The Association is conscious of balancing rents with the costs of providing services as all of these costs are funded from rental income.  In controlling our </w:t>
            </w:r>
            <w:r w:rsidR="00467DAD" w:rsidRPr="00EB4EB9">
              <w:rPr>
                <w:rFonts w:ascii="Arial" w:hAnsi="Arial" w:cs="Arial"/>
                <w:sz w:val="24"/>
                <w:szCs w:val="24"/>
                <w:lang w:eastAsia="en-GB"/>
              </w:rPr>
              <w:t>costs,</w:t>
            </w:r>
            <w:r w:rsidRPr="00EB4EB9">
              <w:rPr>
                <w:rFonts w:ascii="Arial" w:hAnsi="Arial" w:cs="Arial"/>
                <w:sz w:val="24"/>
                <w:szCs w:val="24"/>
                <w:lang w:eastAsia="en-GB"/>
              </w:rPr>
              <w:t xml:space="preserve"> we aim to ensure that proposed rent increases are kept to a minimum.</w:t>
            </w:r>
          </w:p>
        </w:tc>
      </w:tr>
      <w:tr w:rsidR="00D30F6F" w:rsidRPr="00EB4EB9" w:rsidTr="00EB4EB9">
        <w:trPr>
          <w:trHeight w:val="250"/>
        </w:trPr>
        <w:tc>
          <w:tcPr>
            <w:tcW w:w="884" w:type="dxa"/>
          </w:tcPr>
          <w:p w:rsidR="00D30F6F" w:rsidRPr="00EB4EB9" w:rsidRDefault="00D30F6F" w:rsidP="00EB4EB9">
            <w:pPr>
              <w:rPr>
                <w:rFonts w:ascii="Arial" w:hAnsi="Arial" w:cs="Arial"/>
                <w:sz w:val="24"/>
                <w:szCs w:val="24"/>
                <w:lang w:eastAsia="en-GB"/>
              </w:rPr>
            </w:pPr>
          </w:p>
        </w:tc>
        <w:tc>
          <w:tcPr>
            <w:tcW w:w="8151" w:type="dxa"/>
          </w:tcPr>
          <w:p w:rsidR="009C70C5" w:rsidRPr="00EB4EB9" w:rsidRDefault="009C70C5" w:rsidP="00EB4EB9">
            <w:pPr>
              <w:autoSpaceDE w:val="0"/>
              <w:autoSpaceDN w:val="0"/>
              <w:adjustRightInd w:val="0"/>
              <w:spacing w:after="0" w:line="240" w:lineRule="auto"/>
              <w:jc w:val="both"/>
              <w:rPr>
                <w:rFonts w:ascii="Arial" w:hAnsi="Arial" w:cs="Arial"/>
                <w:sz w:val="24"/>
                <w:szCs w:val="24"/>
                <w:lang w:eastAsia="en-GB"/>
              </w:rPr>
            </w:pPr>
            <w:r w:rsidRPr="00EB4EB9">
              <w:rPr>
                <w:rFonts w:ascii="Arial" w:hAnsi="Arial" w:cs="Arial"/>
                <w:b/>
                <w:sz w:val="24"/>
                <w:szCs w:val="24"/>
                <w:lang w:eastAsia="en-GB"/>
              </w:rPr>
              <w:t>Comparability:</w:t>
            </w:r>
            <w:r w:rsidRPr="00EB4EB9">
              <w:rPr>
                <w:rFonts w:ascii="Arial" w:hAnsi="Arial" w:cs="Arial"/>
                <w:sz w:val="24"/>
                <w:szCs w:val="24"/>
                <w:lang w:eastAsia="en-GB"/>
              </w:rPr>
              <w:t xml:space="preserve"> A further objective of the Associations rent policy is to ensure, wherever possible, that our rents are comparable with those of other Registered Social Landlords offering accommodation in similar urban communities.  We will seek to ensure that, as far as possible, our rents are broadly comparable with the rents of other local social landlords providing similar accommodation.  </w:t>
            </w:r>
          </w:p>
          <w:p w:rsidR="009C70C5" w:rsidRPr="00EB4EB9" w:rsidRDefault="009C70C5" w:rsidP="00EB4EB9">
            <w:pPr>
              <w:autoSpaceDE w:val="0"/>
              <w:autoSpaceDN w:val="0"/>
              <w:adjustRightInd w:val="0"/>
              <w:spacing w:after="0" w:line="240" w:lineRule="auto"/>
              <w:jc w:val="both"/>
              <w:rPr>
                <w:rFonts w:ascii="Arial" w:hAnsi="Arial" w:cs="Arial"/>
                <w:sz w:val="24"/>
                <w:szCs w:val="24"/>
                <w:lang w:eastAsia="en-GB"/>
              </w:rPr>
            </w:pPr>
          </w:p>
          <w:p w:rsidR="00D30F6F" w:rsidRPr="00EB4EB9" w:rsidRDefault="009C70C5" w:rsidP="00EB4EB9">
            <w:pPr>
              <w:autoSpaceDE w:val="0"/>
              <w:autoSpaceDN w:val="0"/>
              <w:adjustRightInd w:val="0"/>
              <w:spacing w:after="0" w:line="240" w:lineRule="auto"/>
              <w:jc w:val="both"/>
              <w:rPr>
                <w:rFonts w:ascii="Arial" w:hAnsi="Arial" w:cs="Arial"/>
                <w:sz w:val="24"/>
                <w:szCs w:val="24"/>
                <w:lang w:eastAsia="en-GB"/>
              </w:rPr>
            </w:pPr>
            <w:r w:rsidRPr="00EB4EB9">
              <w:rPr>
                <w:rFonts w:ascii="Arial" w:hAnsi="Arial" w:cs="Arial"/>
                <w:sz w:val="24"/>
                <w:szCs w:val="24"/>
                <w:lang w:eastAsia="en-GB"/>
              </w:rPr>
              <w:t xml:space="preserve">We will also promote the Scottish Housing Regulator’s website to allow tenants to make comparisons against individual RSL’s. </w:t>
            </w:r>
          </w:p>
        </w:tc>
      </w:tr>
      <w:tr w:rsidR="001E6321" w:rsidRPr="00EB4EB9" w:rsidTr="00EB4EB9">
        <w:trPr>
          <w:trHeight w:val="250"/>
        </w:trPr>
        <w:tc>
          <w:tcPr>
            <w:tcW w:w="884" w:type="dxa"/>
          </w:tcPr>
          <w:p w:rsidR="001E6321" w:rsidRPr="00EB4EB9" w:rsidRDefault="001E6321" w:rsidP="00EB4EB9">
            <w:pPr>
              <w:rPr>
                <w:rFonts w:ascii="Arial" w:hAnsi="Arial" w:cs="Arial"/>
                <w:sz w:val="24"/>
                <w:szCs w:val="24"/>
                <w:lang w:eastAsia="en-GB"/>
              </w:rPr>
            </w:pPr>
          </w:p>
        </w:tc>
        <w:tc>
          <w:tcPr>
            <w:tcW w:w="8151" w:type="dxa"/>
          </w:tcPr>
          <w:p w:rsidR="001E6321" w:rsidRPr="00EB4EB9" w:rsidRDefault="001E6321" w:rsidP="00EB4EB9">
            <w:pPr>
              <w:autoSpaceDE w:val="0"/>
              <w:autoSpaceDN w:val="0"/>
              <w:adjustRightInd w:val="0"/>
              <w:spacing w:after="0" w:line="240" w:lineRule="auto"/>
              <w:jc w:val="both"/>
              <w:rPr>
                <w:rFonts w:ascii="Arial" w:hAnsi="Arial" w:cs="Arial"/>
                <w:b/>
                <w:sz w:val="24"/>
                <w:szCs w:val="24"/>
                <w:lang w:eastAsia="en-GB"/>
              </w:rPr>
            </w:pPr>
          </w:p>
        </w:tc>
      </w:tr>
      <w:tr w:rsidR="001E6321" w:rsidRPr="00EB4EB9" w:rsidTr="00EB4EB9">
        <w:trPr>
          <w:trHeight w:val="250"/>
        </w:trPr>
        <w:tc>
          <w:tcPr>
            <w:tcW w:w="884" w:type="dxa"/>
          </w:tcPr>
          <w:p w:rsidR="001E6321" w:rsidRPr="00EB4EB9" w:rsidRDefault="001E6321" w:rsidP="00EB4EB9">
            <w:pPr>
              <w:rPr>
                <w:rFonts w:ascii="Arial" w:hAnsi="Arial" w:cs="Arial"/>
                <w:sz w:val="24"/>
                <w:szCs w:val="24"/>
                <w:lang w:eastAsia="en-GB"/>
              </w:rPr>
            </w:pPr>
          </w:p>
        </w:tc>
        <w:tc>
          <w:tcPr>
            <w:tcW w:w="8151" w:type="dxa"/>
          </w:tcPr>
          <w:p w:rsidR="001E6321" w:rsidRPr="00EB4EB9" w:rsidRDefault="001E6321" w:rsidP="00EB4EB9">
            <w:pPr>
              <w:autoSpaceDE w:val="0"/>
              <w:autoSpaceDN w:val="0"/>
              <w:adjustRightInd w:val="0"/>
              <w:spacing w:after="0" w:line="240" w:lineRule="auto"/>
              <w:jc w:val="both"/>
              <w:rPr>
                <w:rFonts w:ascii="Arial" w:hAnsi="Arial" w:cs="Arial"/>
                <w:b/>
                <w:sz w:val="24"/>
                <w:szCs w:val="24"/>
                <w:lang w:eastAsia="en-GB"/>
              </w:rPr>
            </w:pPr>
            <w:r w:rsidRPr="00EB4EB9">
              <w:rPr>
                <w:rFonts w:ascii="Arial" w:hAnsi="Arial" w:cs="Arial"/>
                <w:b/>
                <w:sz w:val="24"/>
                <w:szCs w:val="24"/>
                <w:lang w:eastAsia="en-GB"/>
              </w:rPr>
              <w:t>Fairness:</w:t>
            </w:r>
            <w:r w:rsidRPr="00EB4EB9">
              <w:rPr>
                <w:rFonts w:ascii="Arial" w:hAnsi="Arial" w:cs="Arial"/>
                <w:sz w:val="24"/>
                <w:szCs w:val="24"/>
                <w:lang w:eastAsia="en-GB"/>
              </w:rPr>
              <w:t xml:space="preserve"> Following the rent restructure exercise carried out in 2016 by Govan Housing Association, this restructure ensures fairness across all aspects of our rent setting methodology.</w:t>
            </w:r>
          </w:p>
        </w:tc>
      </w:tr>
      <w:tr w:rsidR="00D30F6F" w:rsidRPr="00EB4EB9" w:rsidTr="00EB4EB9">
        <w:trPr>
          <w:trHeight w:val="250"/>
        </w:trPr>
        <w:tc>
          <w:tcPr>
            <w:tcW w:w="884" w:type="dxa"/>
          </w:tcPr>
          <w:p w:rsidR="00D30F6F" w:rsidRPr="00EB4EB9" w:rsidRDefault="00D30F6F" w:rsidP="00EB4EB9">
            <w:pPr>
              <w:rPr>
                <w:rFonts w:ascii="Arial" w:hAnsi="Arial" w:cs="Arial"/>
                <w:sz w:val="24"/>
                <w:szCs w:val="24"/>
              </w:rPr>
            </w:pPr>
          </w:p>
        </w:tc>
        <w:tc>
          <w:tcPr>
            <w:tcW w:w="8151" w:type="dxa"/>
          </w:tcPr>
          <w:p w:rsidR="00D30F6F" w:rsidRPr="00EB4EB9" w:rsidRDefault="00D30F6F" w:rsidP="00EB4EB9">
            <w:pPr>
              <w:jc w:val="both"/>
              <w:rPr>
                <w:rFonts w:ascii="Arial" w:hAnsi="Arial" w:cs="Arial"/>
                <w:sz w:val="24"/>
                <w:szCs w:val="24"/>
              </w:rPr>
            </w:pPr>
          </w:p>
        </w:tc>
      </w:tr>
      <w:tr w:rsidR="00D30F6F" w:rsidRPr="00EB4EB9" w:rsidTr="00EB4EB9">
        <w:trPr>
          <w:trHeight w:val="250"/>
        </w:trPr>
        <w:tc>
          <w:tcPr>
            <w:tcW w:w="884" w:type="dxa"/>
          </w:tcPr>
          <w:p w:rsidR="00D30F6F" w:rsidRPr="00EB4EB9" w:rsidRDefault="00E36179" w:rsidP="00EB4EB9">
            <w:pPr>
              <w:rPr>
                <w:rFonts w:ascii="Arial" w:hAnsi="Arial" w:cs="Arial"/>
                <w:b/>
                <w:sz w:val="24"/>
                <w:szCs w:val="24"/>
              </w:rPr>
            </w:pPr>
            <w:r w:rsidRPr="00EB4EB9">
              <w:rPr>
                <w:rFonts w:ascii="Arial" w:hAnsi="Arial" w:cs="Arial"/>
                <w:b/>
                <w:sz w:val="24"/>
                <w:szCs w:val="24"/>
              </w:rPr>
              <w:t>5</w:t>
            </w:r>
          </w:p>
        </w:tc>
        <w:tc>
          <w:tcPr>
            <w:tcW w:w="8151" w:type="dxa"/>
          </w:tcPr>
          <w:p w:rsidR="00D30F6F" w:rsidRPr="00EB4EB9" w:rsidRDefault="00E36179" w:rsidP="00EB4EB9">
            <w:pPr>
              <w:jc w:val="both"/>
              <w:rPr>
                <w:rFonts w:ascii="Arial" w:hAnsi="Arial" w:cs="Arial"/>
                <w:b/>
                <w:sz w:val="24"/>
                <w:szCs w:val="24"/>
              </w:rPr>
            </w:pPr>
            <w:r w:rsidRPr="00EB4EB9">
              <w:rPr>
                <w:rFonts w:ascii="Arial" w:hAnsi="Arial" w:cs="Arial"/>
                <w:b/>
                <w:sz w:val="24"/>
                <w:szCs w:val="24"/>
              </w:rPr>
              <w:t>Rent Setting Methodology</w:t>
            </w:r>
          </w:p>
        </w:tc>
      </w:tr>
      <w:tr w:rsidR="00D30F6F" w:rsidRPr="00EB4EB9" w:rsidTr="00EB4EB9">
        <w:trPr>
          <w:trHeight w:val="250"/>
        </w:trPr>
        <w:tc>
          <w:tcPr>
            <w:tcW w:w="884" w:type="dxa"/>
          </w:tcPr>
          <w:p w:rsidR="00D30F6F" w:rsidRPr="00EB4EB9" w:rsidRDefault="00E36179" w:rsidP="00EB4EB9">
            <w:pPr>
              <w:rPr>
                <w:rFonts w:ascii="Arial" w:hAnsi="Arial" w:cs="Arial"/>
                <w:sz w:val="24"/>
                <w:szCs w:val="24"/>
              </w:rPr>
            </w:pPr>
            <w:r w:rsidRPr="00EB4EB9">
              <w:rPr>
                <w:rFonts w:ascii="Arial" w:hAnsi="Arial" w:cs="Arial"/>
                <w:sz w:val="24"/>
                <w:szCs w:val="24"/>
              </w:rPr>
              <w:t>5.1</w:t>
            </w:r>
          </w:p>
        </w:tc>
        <w:tc>
          <w:tcPr>
            <w:tcW w:w="8151" w:type="dxa"/>
          </w:tcPr>
          <w:p w:rsidR="00E36179" w:rsidRPr="00EB4EB9" w:rsidRDefault="00E36179" w:rsidP="00EB4EB9">
            <w:pPr>
              <w:jc w:val="both"/>
              <w:rPr>
                <w:rFonts w:ascii="Arial" w:hAnsi="Arial" w:cs="Arial"/>
                <w:color w:val="000000"/>
                <w:sz w:val="24"/>
                <w:szCs w:val="24"/>
              </w:rPr>
            </w:pPr>
            <w:r w:rsidRPr="00EB4EB9">
              <w:rPr>
                <w:rFonts w:ascii="Arial" w:hAnsi="Arial" w:cs="Arial"/>
                <w:color w:val="000000"/>
                <w:sz w:val="24"/>
                <w:szCs w:val="24"/>
              </w:rPr>
              <w:t>The Association has implemented a simple and transparent approach to setting rents.  The structure is based on a standard rent charge and the main amenities which each property includes</w:t>
            </w:r>
            <w:r w:rsidR="001E6321" w:rsidRPr="00EB4EB9">
              <w:rPr>
                <w:rFonts w:ascii="Arial" w:hAnsi="Arial" w:cs="Arial"/>
                <w:color w:val="000000"/>
                <w:sz w:val="24"/>
                <w:szCs w:val="24"/>
              </w:rPr>
              <w:t>.</w:t>
            </w:r>
          </w:p>
        </w:tc>
      </w:tr>
      <w:tr w:rsidR="00D30F6F" w:rsidRPr="00EB4EB9" w:rsidTr="00EB4EB9">
        <w:trPr>
          <w:trHeight w:val="250"/>
        </w:trPr>
        <w:tc>
          <w:tcPr>
            <w:tcW w:w="884" w:type="dxa"/>
          </w:tcPr>
          <w:p w:rsidR="00D30F6F" w:rsidRPr="00EB4EB9" w:rsidRDefault="00141879" w:rsidP="00EB4EB9">
            <w:pPr>
              <w:rPr>
                <w:rFonts w:ascii="Arial" w:hAnsi="Arial" w:cs="Arial"/>
                <w:sz w:val="24"/>
                <w:szCs w:val="24"/>
              </w:rPr>
            </w:pPr>
            <w:r w:rsidRPr="00EB4EB9">
              <w:rPr>
                <w:rFonts w:ascii="Arial" w:hAnsi="Arial" w:cs="Arial"/>
                <w:sz w:val="24"/>
                <w:szCs w:val="24"/>
              </w:rPr>
              <w:t>5.2</w:t>
            </w:r>
          </w:p>
        </w:tc>
        <w:tc>
          <w:tcPr>
            <w:tcW w:w="8151" w:type="dxa"/>
          </w:tcPr>
          <w:p w:rsidR="00D30F6F" w:rsidRPr="00EB4EB9" w:rsidRDefault="00141879" w:rsidP="00EB4EB9">
            <w:pPr>
              <w:jc w:val="both"/>
              <w:rPr>
                <w:rFonts w:ascii="Arial" w:hAnsi="Arial" w:cs="Arial"/>
                <w:color w:val="000000"/>
                <w:sz w:val="24"/>
                <w:szCs w:val="24"/>
              </w:rPr>
            </w:pPr>
            <w:r w:rsidRPr="00EB4EB9">
              <w:rPr>
                <w:rFonts w:ascii="Arial" w:hAnsi="Arial" w:cs="Arial"/>
                <w:color w:val="000000"/>
                <w:sz w:val="24"/>
                <w:szCs w:val="24"/>
              </w:rPr>
              <w:t xml:space="preserve">The rental charge for each property will reflect the specific amenities associated with that property based on a ‘points’ system.  </w:t>
            </w:r>
          </w:p>
        </w:tc>
      </w:tr>
      <w:tr w:rsidR="00D30F6F" w:rsidRPr="00EB4EB9" w:rsidTr="00EB4EB9">
        <w:trPr>
          <w:trHeight w:val="250"/>
        </w:trPr>
        <w:tc>
          <w:tcPr>
            <w:tcW w:w="884" w:type="dxa"/>
          </w:tcPr>
          <w:p w:rsidR="00D30F6F" w:rsidRPr="00EB4EB9" w:rsidRDefault="00141879" w:rsidP="00EB4EB9">
            <w:pPr>
              <w:rPr>
                <w:rFonts w:ascii="Arial" w:hAnsi="Arial" w:cs="Arial"/>
                <w:sz w:val="24"/>
                <w:szCs w:val="24"/>
              </w:rPr>
            </w:pPr>
            <w:r w:rsidRPr="00EB4EB9">
              <w:rPr>
                <w:rFonts w:ascii="Arial" w:hAnsi="Arial" w:cs="Arial"/>
                <w:sz w:val="24"/>
                <w:szCs w:val="24"/>
              </w:rPr>
              <w:t>5.3</w:t>
            </w:r>
          </w:p>
        </w:tc>
        <w:tc>
          <w:tcPr>
            <w:tcW w:w="8151" w:type="dxa"/>
          </w:tcPr>
          <w:p w:rsidR="00D30F6F" w:rsidRPr="00EB4EB9" w:rsidRDefault="00141879" w:rsidP="00EB4EB9">
            <w:pPr>
              <w:jc w:val="both"/>
              <w:rPr>
                <w:rFonts w:ascii="Arial" w:hAnsi="Arial" w:cs="Arial"/>
                <w:color w:val="000000"/>
                <w:sz w:val="24"/>
                <w:szCs w:val="24"/>
              </w:rPr>
            </w:pPr>
            <w:r w:rsidRPr="00EB4EB9">
              <w:rPr>
                <w:rFonts w:ascii="Arial" w:hAnsi="Arial" w:cs="Arial"/>
                <w:color w:val="000000"/>
                <w:sz w:val="24"/>
                <w:szCs w:val="24"/>
              </w:rPr>
              <w:t>The points value assigned by this method remains static but the charge relative to each point (the unit point charge value) will be reviewed annually in line with the applicable rent increase.</w:t>
            </w:r>
          </w:p>
        </w:tc>
      </w:tr>
      <w:tr w:rsidR="00D30F6F" w:rsidRPr="00EB4EB9" w:rsidTr="00EB4EB9">
        <w:trPr>
          <w:trHeight w:val="250"/>
        </w:trPr>
        <w:tc>
          <w:tcPr>
            <w:tcW w:w="884" w:type="dxa"/>
          </w:tcPr>
          <w:p w:rsidR="00D30F6F" w:rsidRPr="00EB4EB9" w:rsidRDefault="00141879" w:rsidP="00EB4EB9">
            <w:pPr>
              <w:rPr>
                <w:rFonts w:ascii="Arial" w:hAnsi="Arial" w:cs="Arial"/>
                <w:sz w:val="24"/>
                <w:szCs w:val="24"/>
              </w:rPr>
            </w:pPr>
            <w:r w:rsidRPr="00EB4EB9">
              <w:rPr>
                <w:rFonts w:ascii="Arial" w:hAnsi="Arial" w:cs="Arial"/>
                <w:sz w:val="24"/>
                <w:szCs w:val="24"/>
              </w:rPr>
              <w:t>5.4</w:t>
            </w:r>
          </w:p>
        </w:tc>
        <w:tc>
          <w:tcPr>
            <w:tcW w:w="8151" w:type="dxa"/>
          </w:tcPr>
          <w:p w:rsidR="00D30F6F" w:rsidRPr="00EB4EB9" w:rsidRDefault="00141879" w:rsidP="00EB4EB9">
            <w:pPr>
              <w:jc w:val="both"/>
              <w:rPr>
                <w:rFonts w:ascii="Arial" w:hAnsi="Arial" w:cs="Arial"/>
                <w:sz w:val="24"/>
                <w:szCs w:val="24"/>
              </w:rPr>
            </w:pPr>
            <w:r w:rsidRPr="00EB4EB9">
              <w:rPr>
                <w:rFonts w:ascii="Arial" w:hAnsi="Arial" w:cs="Arial"/>
                <w:color w:val="000000"/>
                <w:sz w:val="24"/>
                <w:szCs w:val="24"/>
              </w:rPr>
              <w:t>The amenity pointing total of each p</w:t>
            </w:r>
            <w:r w:rsidR="001E6321" w:rsidRPr="00EB4EB9">
              <w:rPr>
                <w:rFonts w:ascii="Arial" w:hAnsi="Arial" w:cs="Arial"/>
                <w:color w:val="000000"/>
                <w:sz w:val="24"/>
                <w:szCs w:val="24"/>
              </w:rPr>
              <w:t xml:space="preserve">roperty is simply calculated by </w:t>
            </w:r>
            <w:r w:rsidRPr="00EB4EB9">
              <w:rPr>
                <w:rFonts w:ascii="Arial" w:hAnsi="Arial" w:cs="Arial"/>
                <w:color w:val="000000"/>
                <w:sz w:val="24"/>
                <w:szCs w:val="24"/>
              </w:rPr>
              <w:t>adding together its applicable amenity points. This total is then multiplied by the unit point charge value to arrive at the respective annual rent figure.</w:t>
            </w:r>
          </w:p>
        </w:tc>
      </w:tr>
      <w:tr w:rsidR="00D30F6F" w:rsidRPr="00EB4EB9" w:rsidTr="00EB4EB9">
        <w:trPr>
          <w:trHeight w:val="250"/>
        </w:trPr>
        <w:tc>
          <w:tcPr>
            <w:tcW w:w="884" w:type="dxa"/>
          </w:tcPr>
          <w:p w:rsidR="00D30F6F" w:rsidRPr="00EB4EB9" w:rsidRDefault="00141879" w:rsidP="00EB4EB9">
            <w:pPr>
              <w:rPr>
                <w:rFonts w:ascii="Arial" w:hAnsi="Arial" w:cs="Arial"/>
                <w:sz w:val="24"/>
                <w:szCs w:val="24"/>
              </w:rPr>
            </w:pPr>
            <w:r w:rsidRPr="00EB4EB9">
              <w:rPr>
                <w:rFonts w:ascii="Arial" w:hAnsi="Arial" w:cs="Arial"/>
                <w:sz w:val="24"/>
                <w:szCs w:val="24"/>
              </w:rPr>
              <w:t>5.6</w:t>
            </w:r>
          </w:p>
        </w:tc>
        <w:tc>
          <w:tcPr>
            <w:tcW w:w="8151" w:type="dxa"/>
          </w:tcPr>
          <w:p w:rsidR="00D30F6F" w:rsidRPr="00EB4EB9" w:rsidRDefault="00141879" w:rsidP="00EB4EB9">
            <w:pPr>
              <w:jc w:val="both"/>
              <w:rPr>
                <w:rFonts w:ascii="Arial" w:hAnsi="Arial" w:cs="Arial"/>
                <w:color w:val="000000"/>
                <w:sz w:val="24"/>
                <w:szCs w:val="24"/>
              </w:rPr>
            </w:pPr>
            <w:r w:rsidRPr="00EB4EB9">
              <w:rPr>
                <w:rFonts w:ascii="Arial" w:hAnsi="Arial" w:cs="Arial"/>
                <w:color w:val="000000"/>
                <w:sz w:val="24"/>
                <w:szCs w:val="24"/>
              </w:rPr>
              <w:t>Fair Rents (Pre 1989 Former Secure Tenancies)</w:t>
            </w:r>
          </w:p>
          <w:p w:rsidR="00141879" w:rsidRPr="00EB4EB9" w:rsidRDefault="00141879" w:rsidP="00EB4EB9">
            <w:pPr>
              <w:pStyle w:val="BodyTextIndent2"/>
              <w:rPr>
                <w:rFonts w:eastAsiaTheme="minorHAnsi" w:cs="Arial"/>
                <w:color w:val="000000"/>
                <w:szCs w:val="24"/>
              </w:rPr>
            </w:pPr>
            <w:r w:rsidRPr="00EB4EB9">
              <w:rPr>
                <w:rFonts w:eastAsiaTheme="minorHAnsi" w:cs="Arial"/>
                <w:color w:val="000000"/>
                <w:szCs w:val="24"/>
              </w:rPr>
              <w:t xml:space="preserve">The Association has some properties that are fair rent stock.  </w:t>
            </w:r>
          </w:p>
          <w:p w:rsidR="00141879" w:rsidRPr="00EB4EB9" w:rsidRDefault="00141879" w:rsidP="00EB4EB9">
            <w:pPr>
              <w:pStyle w:val="BodyTextIndent2"/>
              <w:rPr>
                <w:rFonts w:eastAsiaTheme="minorHAnsi" w:cs="Arial"/>
                <w:color w:val="000000"/>
                <w:szCs w:val="24"/>
              </w:rPr>
            </w:pPr>
            <w:r w:rsidRPr="00EB4EB9">
              <w:rPr>
                <w:rFonts w:eastAsiaTheme="minorHAnsi" w:cs="Arial"/>
                <w:color w:val="000000"/>
                <w:szCs w:val="24"/>
              </w:rPr>
              <w:t>Fair rent is a term that applies to tenants who have held their tenancy prior</w:t>
            </w:r>
          </w:p>
          <w:p w:rsidR="00141879" w:rsidRPr="00EB4EB9" w:rsidRDefault="00141879" w:rsidP="00EB4EB9">
            <w:pPr>
              <w:pStyle w:val="BodyTextIndent2"/>
              <w:rPr>
                <w:rFonts w:eastAsiaTheme="minorHAnsi" w:cs="Arial"/>
                <w:color w:val="000000"/>
                <w:szCs w:val="24"/>
              </w:rPr>
            </w:pPr>
            <w:r w:rsidRPr="00EB4EB9">
              <w:rPr>
                <w:rFonts w:eastAsiaTheme="minorHAnsi" w:cs="Arial"/>
                <w:color w:val="000000"/>
                <w:szCs w:val="24"/>
              </w:rPr>
              <w:t>to 15th January 1989.  These rents will be phased out naturally in the future</w:t>
            </w:r>
          </w:p>
          <w:p w:rsidR="00141879" w:rsidRPr="00EB4EB9" w:rsidRDefault="00141879" w:rsidP="00EB4EB9">
            <w:pPr>
              <w:pStyle w:val="BodyTextIndent2"/>
              <w:rPr>
                <w:rFonts w:eastAsiaTheme="minorHAnsi" w:cs="Arial"/>
                <w:color w:val="000000"/>
                <w:szCs w:val="24"/>
              </w:rPr>
            </w:pPr>
            <w:r w:rsidRPr="00EB4EB9">
              <w:rPr>
                <w:rFonts w:eastAsiaTheme="minorHAnsi" w:cs="Arial"/>
                <w:color w:val="000000"/>
                <w:szCs w:val="24"/>
              </w:rPr>
              <w:t>when a property becomes void and the tenancy is replaced by a Scottish</w:t>
            </w:r>
          </w:p>
          <w:p w:rsidR="00141879" w:rsidRPr="00EB4EB9" w:rsidRDefault="00141879" w:rsidP="00EB4EB9">
            <w:pPr>
              <w:pStyle w:val="BodyTextIndent2"/>
              <w:rPr>
                <w:rFonts w:eastAsiaTheme="minorHAnsi" w:cs="Arial"/>
                <w:color w:val="000000"/>
                <w:szCs w:val="24"/>
              </w:rPr>
            </w:pPr>
            <w:r w:rsidRPr="00EB4EB9">
              <w:rPr>
                <w:rFonts w:eastAsiaTheme="minorHAnsi" w:cs="Arial"/>
                <w:color w:val="000000"/>
                <w:szCs w:val="24"/>
              </w:rPr>
              <w:t>Secure Tenancy (SST).  These rents are set by a Rental Valuation Officer</w:t>
            </w:r>
          </w:p>
          <w:p w:rsidR="00141879" w:rsidRPr="00EB4EB9" w:rsidRDefault="00141879" w:rsidP="00EB4EB9">
            <w:pPr>
              <w:pStyle w:val="BodyTextIndent2"/>
              <w:rPr>
                <w:rFonts w:eastAsiaTheme="minorHAnsi" w:cs="Arial"/>
                <w:color w:val="000000"/>
                <w:szCs w:val="24"/>
              </w:rPr>
            </w:pPr>
            <w:r w:rsidRPr="00EB4EB9">
              <w:rPr>
                <w:rFonts w:eastAsiaTheme="minorHAnsi" w:cs="Arial"/>
                <w:color w:val="000000"/>
                <w:szCs w:val="24"/>
              </w:rPr>
              <w:t>and will be increased every 3 years in accordance with legislation.  Rent</w:t>
            </w:r>
          </w:p>
          <w:p w:rsidR="00141879" w:rsidRPr="00EB4EB9" w:rsidRDefault="00141879" w:rsidP="00EB4EB9">
            <w:pPr>
              <w:pStyle w:val="BodyTextIndent2"/>
              <w:rPr>
                <w:rFonts w:eastAsiaTheme="minorHAnsi" w:cs="Arial"/>
                <w:color w:val="000000"/>
                <w:szCs w:val="24"/>
              </w:rPr>
            </w:pPr>
            <w:r w:rsidRPr="00EB4EB9">
              <w:rPr>
                <w:rFonts w:eastAsiaTheme="minorHAnsi" w:cs="Arial"/>
                <w:color w:val="000000"/>
                <w:szCs w:val="24"/>
              </w:rPr>
              <w:t>charge proposals for these properties will be based on and in line with a</w:t>
            </w:r>
          </w:p>
          <w:p w:rsidR="00141879" w:rsidRPr="00EB4EB9" w:rsidRDefault="00141879" w:rsidP="00EB4EB9">
            <w:pPr>
              <w:pStyle w:val="BodyTextIndent2"/>
              <w:rPr>
                <w:rFonts w:eastAsiaTheme="minorHAnsi" w:cs="Arial"/>
                <w:color w:val="000000"/>
                <w:szCs w:val="24"/>
              </w:rPr>
            </w:pPr>
            <w:r w:rsidRPr="00EB4EB9">
              <w:rPr>
                <w:rFonts w:eastAsiaTheme="minorHAnsi" w:cs="Arial"/>
                <w:color w:val="000000"/>
                <w:szCs w:val="24"/>
              </w:rPr>
              <w:t>SST for a similar property.</w:t>
            </w:r>
          </w:p>
          <w:p w:rsidR="00141879" w:rsidRPr="00EB4EB9" w:rsidRDefault="00141879" w:rsidP="00EB4EB9">
            <w:pPr>
              <w:pStyle w:val="BodyTextIndent2"/>
              <w:ind w:left="720" w:firstLine="0"/>
              <w:rPr>
                <w:rFonts w:eastAsiaTheme="minorHAnsi" w:cs="Arial"/>
                <w:color w:val="000000"/>
                <w:szCs w:val="24"/>
              </w:rPr>
            </w:pPr>
          </w:p>
          <w:p w:rsidR="00141879" w:rsidRPr="00EB4EB9" w:rsidRDefault="00141879" w:rsidP="00EB4EB9">
            <w:pPr>
              <w:pStyle w:val="BodyTextIndent2"/>
              <w:rPr>
                <w:rFonts w:eastAsiaTheme="minorHAnsi" w:cs="Arial"/>
                <w:color w:val="000000"/>
                <w:szCs w:val="24"/>
              </w:rPr>
            </w:pPr>
            <w:r w:rsidRPr="00EB4EB9">
              <w:rPr>
                <w:rFonts w:eastAsiaTheme="minorHAnsi" w:cs="Arial"/>
                <w:color w:val="000000"/>
                <w:szCs w:val="24"/>
              </w:rPr>
              <w:t>The Association will propose a rental charge for the property however the</w:t>
            </w:r>
          </w:p>
          <w:p w:rsidR="00141879" w:rsidRPr="00EB4EB9" w:rsidRDefault="00141879" w:rsidP="00EB4EB9">
            <w:pPr>
              <w:pStyle w:val="BodyTextIndent2"/>
              <w:rPr>
                <w:rFonts w:eastAsiaTheme="minorHAnsi" w:cs="Arial"/>
                <w:color w:val="000000"/>
                <w:szCs w:val="24"/>
              </w:rPr>
            </w:pPr>
            <w:r w:rsidRPr="00EB4EB9">
              <w:rPr>
                <w:rFonts w:eastAsiaTheme="minorHAnsi" w:cs="Arial"/>
                <w:color w:val="000000"/>
                <w:szCs w:val="24"/>
              </w:rPr>
              <w:t>final charge will be determined by the Rental Valuation Officer.  Tenants</w:t>
            </w:r>
          </w:p>
          <w:p w:rsidR="00141879" w:rsidRPr="00EB4EB9" w:rsidRDefault="00141879" w:rsidP="00EB4EB9">
            <w:pPr>
              <w:pStyle w:val="BodyTextIndent2"/>
              <w:rPr>
                <w:rFonts w:eastAsiaTheme="minorHAnsi" w:cs="Arial"/>
                <w:color w:val="000000"/>
                <w:szCs w:val="24"/>
              </w:rPr>
            </w:pPr>
            <w:r w:rsidRPr="00EB4EB9">
              <w:rPr>
                <w:rFonts w:eastAsiaTheme="minorHAnsi" w:cs="Arial"/>
                <w:color w:val="000000"/>
                <w:szCs w:val="24"/>
              </w:rPr>
              <w:t>have the right to appeal against the figure.  Where the Association and the</w:t>
            </w:r>
          </w:p>
          <w:p w:rsidR="00141879" w:rsidRPr="00EB4EB9" w:rsidRDefault="00141879" w:rsidP="00EB4EB9">
            <w:pPr>
              <w:pStyle w:val="BodyTextIndent2"/>
              <w:rPr>
                <w:rFonts w:eastAsiaTheme="minorHAnsi" w:cs="Arial"/>
                <w:color w:val="000000"/>
                <w:szCs w:val="24"/>
              </w:rPr>
            </w:pPr>
            <w:r w:rsidRPr="00EB4EB9">
              <w:rPr>
                <w:rFonts w:eastAsiaTheme="minorHAnsi" w:cs="Arial"/>
                <w:color w:val="000000"/>
                <w:szCs w:val="24"/>
              </w:rPr>
              <w:t>tenant fail to reach an agreement over any proposed change, the tenant has</w:t>
            </w:r>
          </w:p>
          <w:p w:rsidR="004A52DB" w:rsidRPr="00EB4EB9" w:rsidRDefault="00141879" w:rsidP="00EB4EB9">
            <w:pPr>
              <w:pStyle w:val="BodyTextIndent2"/>
              <w:rPr>
                <w:rFonts w:cs="Arial"/>
                <w:szCs w:val="24"/>
              </w:rPr>
            </w:pPr>
            <w:r w:rsidRPr="00EB4EB9">
              <w:rPr>
                <w:rFonts w:eastAsiaTheme="minorHAnsi" w:cs="Arial"/>
                <w:color w:val="000000"/>
                <w:szCs w:val="24"/>
              </w:rPr>
              <w:t>the right to refer the matter to the Rent Assessment Committee.</w:t>
            </w:r>
          </w:p>
        </w:tc>
      </w:tr>
      <w:tr w:rsidR="00F72568" w:rsidRPr="00EB4EB9" w:rsidTr="00EB4EB9">
        <w:trPr>
          <w:trHeight w:val="250"/>
        </w:trPr>
        <w:tc>
          <w:tcPr>
            <w:tcW w:w="884" w:type="dxa"/>
          </w:tcPr>
          <w:p w:rsidR="00F72568" w:rsidRPr="00EB4EB9" w:rsidRDefault="004A52DB" w:rsidP="00EB4EB9">
            <w:pPr>
              <w:rPr>
                <w:rFonts w:ascii="Arial" w:hAnsi="Arial" w:cs="Arial"/>
                <w:b/>
                <w:sz w:val="24"/>
                <w:szCs w:val="24"/>
              </w:rPr>
            </w:pPr>
            <w:r w:rsidRPr="00EB4EB9">
              <w:rPr>
                <w:rFonts w:ascii="Arial" w:hAnsi="Arial" w:cs="Arial"/>
                <w:b/>
                <w:sz w:val="24"/>
                <w:szCs w:val="24"/>
              </w:rPr>
              <w:lastRenderedPageBreak/>
              <w:t>6</w:t>
            </w:r>
            <w:r w:rsidR="00C230DD" w:rsidRPr="00EB4EB9">
              <w:rPr>
                <w:rFonts w:ascii="Arial" w:hAnsi="Arial" w:cs="Arial"/>
                <w:b/>
                <w:sz w:val="24"/>
                <w:szCs w:val="24"/>
              </w:rPr>
              <w:t>.</w:t>
            </w:r>
          </w:p>
        </w:tc>
        <w:tc>
          <w:tcPr>
            <w:tcW w:w="8151" w:type="dxa"/>
          </w:tcPr>
          <w:p w:rsidR="00F72568" w:rsidRPr="00EB4EB9" w:rsidRDefault="00C230DD" w:rsidP="00EB4EB9">
            <w:pPr>
              <w:rPr>
                <w:rFonts w:ascii="Arial" w:hAnsi="Arial" w:cs="Arial"/>
                <w:b/>
                <w:sz w:val="24"/>
                <w:szCs w:val="24"/>
              </w:rPr>
            </w:pPr>
            <w:r w:rsidRPr="00EB4EB9">
              <w:rPr>
                <w:rFonts w:ascii="Arial" w:hAnsi="Arial" w:cs="Arial"/>
                <w:b/>
                <w:sz w:val="24"/>
                <w:szCs w:val="24"/>
              </w:rPr>
              <w:t xml:space="preserve">Rent Review </w:t>
            </w:r>
          </w:p>
        </w:tc>
      </w:tr>
      <w:tr w:rsidR="00C230DD" w:rsidRPr="00EB4EB9" w:rsidTr="00EB4EB9">
        <w:trPr>
          <w:trHeight w:val="250"/>
        </w:trPr>
        <w:tc>
          <w:tcPr>
            <w:tcW w:w="884" w:type="dxa"/>
          </w:tcPr>
          <w:p w:rsidR="00C230DD" w:rsidRPr="00EB4EB9" w:rsidRDefault="004A52DB" w:rsidP="00EB4EB9">
            <w:pPr>
              <w:jc w:val="both"/>
              <w:rPr>
                <w:rFonts w:ascii="Arial" w:hAnsi="Arial" w:cs="Arial"/>
                <w:sz w:val="24"/>
                <w:szCs w:val="24"/>
              </w:rPr>
            </w:pPr>
            <w:r w:rsidRPr="00EB4EB9">
              <w:rPr>
                <w:rFonts w:ascii="Arial" w:hAnsi="Arial" w:cs="Arial"/>
                <w:sz w:val="24"/>
                <w:szCs w:val="24"/>
              </w:rPr>
              <w:t>6</w:t>
            </w:r>
            <w:r w:rsidR="00C230DD" w:rsidRPr="00EB4EB9">
              <w:rPr>
                <w:rFonts w:ascii="Arial" w:hAnsi="Arial" w:cs="Arial"/>
                <w:sz w:val="24"/>
                <w:szCs w:val="24"/>
              </w:rPr>
              <w:t>.1</w:t>
            </w:r>
          </w:p>
        </w:tc>
        <w:tc>
          <w:tcPr>
            <w:tcW w:w="8151" w:type="dxa"/>
          </w:tcPr>
          <w:p w:rsidR="00C230DD" w:rsidRPr="00EB4EB9" w:rsidRDefault="00C230DD" w:rsidP="00EB4EB9">
            <w:pPr>
              <w:jc w:val="both"/>
              <w:rPr>
                <w:rFonts w:ascii="Arial" w:hAnsi="Arial" w:cs="Arial"/>
                <w:sz w:val="24"/>
                <w:szCs w:val="24"/>
              </w:rPr>
            </w:pPr>
            <w:r w:rsidRPr="00EB4EB9">
              <w:rPr>
                <w:rFonts w:ascii="Arial" w:hAnsi="Arial" w:cs="Arial"/>
                <w:spacing w:val="-2"/>
                <w:sz w:val="24"/>
                <w:szCs w:val="24"/>
              </w:rPr>
              <w:t>I</w:t>
            </w:r>
            <w:r w:rsidRPr="00EB4EB9">
              <w:rPr>
                <w:rFonts w:ascii="Arial" w:hAnsi="Arial" w:cs="Arial"/>
                <w:sz w:val="24"/>
                <w:szCs w:val="24"/>
                <w:lang w:eastAsia="en-GB"/>
              </w:rPr>
              <w:t xml:space="preserve">n line with the terms of the Scottish Secure Tenancy Agreement the rent charge will only be reviewed annually.  </w:t>
            </w:r>
          </w:p>
        </w:tc>
      </w:tr>
      <w:tr w:rsidR="00C230DD" w:rsidRPr="00EB4EB9" w:rsidTr="00EB4EB9">
        <w:trPr>
          <w:trHeight w:val="250"/>
        </w:trPr>
        <w:tc>
          <w:tcPr>
            <w:tcW w:w="884" w:type="dxa"/>
          </w:tcPr>
          <w:p w:rsidR="00C230DD" w:rsidRPr="00EB4EB9" w:rsidRDefault="004A52DB" w:rsidP="00EB4EB9">
            <w:pPr>
              <w:jc w:val="both"/>
              <w:rPr>
                <w:rFonts w:ascii="Arial" w:hAnsi="Arial" w:cs="Arial"/>
                <w:sz w:val="24"/>
                <w:szCs w:val="24"/>
              </w:rPr>
            </w:pPr>
            <w:r w:rsidRPr="00EB4EB9">
              <w:rPr>
                <w:rFonts w:ascii="Arial" w:hAnsi="Arial" w:cs="Arial"/>
                <w:sz w:val="24"/>
                <w:szCs w:val="24"/>
              </w:rPr>
              <w:t>6</w:t>
            </w:r>
            <w:r w:rsidR="00AE7E6C" w:rsidRPr="00EB4EB9">
              <w:rPr>
                <w:rFonts w:ascii="Arial" w:hAnsi="Arial" w:cs="Arial"/>
                <w:sz w:val="24"/>
                <w:szCs w:val="24"/>
              </w:rPr>
              <w:t>.2</w:t>
            </w:r>
          </w:p>
        </w:tc>
        <w:tc>
          <w:tcPr>
            <w:tcW w:w="8151" w:type="dxa"/>
          </w:tcPr>
          <w:p w:rsidR="00C230DD" w:rsidRPr="00EB4EB9" w:rsidRDefault="00AE7E6C" w:rsidP="00EB4EB9">
            <w:pPr>
              <w:jc w:val="both"/>
              <w:rPr>
                <w:rFonts w:ascii="Arial" w:hAnsi="Arial" w:cs="Arial"/>
                <w:sz w:val="24"/>
                <w:szCs w:val="24"/>
              </w:rPr>
            </w:pPr>
            <w:r w:rsidRPr="00EB4EB9">
              <w:rPr>
                <w:rFonts w:ascii="Arial" w:hAnsi="Arial" w:cs="Arial"/>
                <w:sz w:val="24"/>
                <w:szCs w:val="24"/>
              </w:rPr>
              <w:t>This review will consider the rental income required to maintain the Association’s financial viability whilst recognising the desire to keep rents at affordable levels to those in low paid employment.</w:t>
            </w:r>
          </w:p>
        </w:tc>
      </w:tr>
      <w:tr w:rsidR="00C230DD" w:rsidRPr="00EB4EB9" w:rsidTr="00EB4EB9">
        <w:trPr>
          <w:trHeight w:val="250"/>
        </w:trPr>
        <w:tc>
          <w:tcPr>
            <w:tcW w:w="884" w:type="dxa"/>
          </w:tcPr>
          <w:p w:rsidR="00C230DD" w:rsidRPr="00EB4EB9" w:rsidRDefault="004A52DB" w:rsidP="00EB4EB9">
            <w:pPr>
              <w:jc w:val="both"/>
              <w:rPr>
                <w:rFonts w:ascii="Arial" w:hAnsi="Arial" w:cs="Arial"/>
                <w:sz w:val="24"/>
                <w:szCs w:val="24"/>
              </w:rPr>
            </w:pPr>
            <w:r w:rsidRPr="00EB4EB9">
              <w:rPr>
                <w:rFonts w:ascii="Arial" w:hAnsi="Arial" w:cs="Arial"/>
                <w:sz w:val="24"/>
                <w:szCs w:val="24"/>
              </w:rPr>
              <w:t>6</w:t>
            </w:r>
            <w:r w:rsidR="0048695E" w:rsidRPr="00EB4EB9">
              <w:rPr>
                <w:rFonts w:ascii="Arial" w:hAnsi="Arial" w:cs="Arial"/>
                <w:sz w:val="24"/>
                <w:szCs w:val="24"/>
              </w:rPr>
              <w:t>.3</w:t>
            </w:r>
          </w:p>
        </w:tc>
        <w:tc>
          <w:tcPr>
            <w:tcW w:w="8151" w:type="dxa"/>
          </w:tcPr>
          <w:p w:rsidR="00C230DD" w:rsidRPr="00EB4EB9" w:rsidRDefault="00AE7E6C" w:rsidP="00EB4EB9">
            <w:pPr>
              <w:jc w:val="both"/>
              <w:rPr>
                <w:rFonts w:ascii="Arial" w:hAnsi="Arial" w:cs="Arial"/>
                <w:sz w:val="24"/>
                <w:szCs w:val="24"/>
              </w:rPr>
            </w:pPr>
            <w:r w:rsidRPr="00EB4EB9">
              <w:rPr>
                <w:rFonts w:ascii="Arial" w:hAnsi="Arial" w:cs="Arial"/>
                <w:sz w:val="24"/>
                <w:szCs w:val="24"/>
              </w:rPr>
              <w:t>Although there is no particular link to either RPI or CPI rates, both these measures are of particular relevance when reviewing the rents as are any emerging trends in these rates, interest rates and their potential effect and relevance on key expenditure issues such as maintenance costs, loan repayments and colleague costs.</w:t>
            </w:r>
          </w:p>
        </w:tc>
      </w:tr>
      <w:tr w:rsidR="00C230DD" w:rsidRPr="00EB4EB9" w:rsidTr="00EB4EB9">
        <w:trPr>
          <w:trHeight w:val="250"/>
        </w:trPr>
        <w:tc>
          <w:tcPr>
            <w:tcW w:w="884" w:type="dxa"/>
          </w:tcPr>
          <w:p w:rsidR="00C230DD" w:rsidRPr="00EB4EB9" w:rsidRDefault="00C230DD" w:rsidP="00EB4EB9">
            <w:pPr>
              <w:jc w:val="both"/>
              <w:rPr>
                <w:rFonts w:ascii="Arial" w:hAnsi="Arial" w:cs="Arial"/>
                <w:sz w:val="24"/>
                <w:szCs w:val="24"/>
              </w:rPr>
            </w:pPr>
          </w:p>
        </w:tc>
        <w:tc>
          <w:tcPr>
            <w:tcW w:w="8151" w:type="dxa"/>
          </w:tcPr>
          <w:p w:rsidR="00C230DD" w:rsidRPr="00EB4EB9" w:rsidRDefault="00C230DD" w:rsidP="00EB4EB9">
            <w:pPr>
              <w:jc w:val="both"/>
              <w:rPr>
                <w:rFonts w:ascii="Arial" w:hAnsi="Arial" w:cs="Arial"/>
                <w:sz w:val="24"/>
                <w:szCs w:val="24"/>
              </w:rPr>
            </w:pPr>
          </w:p>
        </w:tc>
      </w:tr>
      <w:tr w:rsidR="00F72568" w:rsidRPr="00EB4EB9" w:rsidTr="00EB4EB9">
        <w:trPr>
          <w:trHeight w:val="250"/>
        </w:trPr>
        <w:tc>
          <w:tcPr>
            <w:tcW w:w="884" w:type="dxa"/>
          </w:tcPr>
          <w:p w:rsidR="00F72568" w:rsidRPr="00EB4EB9" w:rsidRDefault="004A52DB" w:rsidP="00EB4EB9">
            <w:pPr>
              <w:jc w:val="both"/>
              <w:rPr>
                <w:rFonts w:ascii="Arial" w:hAnsi="Arial" w:cs="Arial"/>
                <w:b/>
                <w:sz w:val="24"/>
                <w:szCs w:val="24"/>
              </w:rPr>
            </w:pPr>
            <w:r w:rsidRPr="00EB4EB9">
              <w:rPr>
                <w:rFonts w:ascii="Arial" w:hAnsi="Arial" w:cs="Arial"/>
                <w:b/>
                <w:sz w:val="24"/>
                <w:szCs w:val="24"/>
              </w:rPr>
              <w:t>7</w:t>
            </w:r>
            <w:r w:rsidR="0048695E" w:rsidRPr="00EB4EB9">
              <w:rPr>
                <w:rFonts w:ascii="Arial" w:hAnsi="Arial" w:cs="Arial"/>
                <w:b/>
                <w:sz w:val="24"/>
                <w:szCs w:val="24"/>
              </w:rPr>
              <w:t>.</w:t>
            </w:r>
          </w:p>
        </w:tc>
        <w:tc>
          <w:tcPr>
            <w:tcW w:w="8151" w:type="dxa"/>
          </w:tcPr>
          <w:p w:rsidR="00F72568" w:rsidRPr="00EB4EB9" w:rsidRDefault="00141879" w:rsidP="00EB4EB9">
            <w:pPr>
              <w:spacing w:after="0" w:line="240" w:lineRule="auto"/>
              <w:jc w:val="both"/>
              <w:rPr>
                <w:rFonts w:ascii="Arial" w:hAnsi="Arial" w:cs="Arial"/>
                <w:b/>
                <w:sz w:val="24"/>
                <w:szCs w:val="24"/>
              </w:rPr>
            </w:pPr>
            <w:r w:rsidRPr="00EB4EB9">
              <w:rPr>
                <w:rFonts w:ascii="Arial" w:hAnsi="Arial" w:cs="Arial"/>
                <w:b/>
                <w:color w:val="000000"/>
                <w:sz w:val="24"/>
                <w:szCs w:val="24"/>
              </w:rPr>
              <w:t>Annual Rent Review Consultation Process</w:t>
            </w:r>
          </w:p>
        </w:tc>
      </w:tr>
      <w:tr w:rsidR="00F72568" w:rsidRPr="00EB4EB9" w:rsidTr="00EB4EB9">
        <w:trPr>
          <w:trHeight w:val="250"/>
        </w:trPr>
        <w:tc>
          <w:tcPr>
            <w:tcW w:w="884" w:type="dxa"/>
          </w:tcPr>
          <w:p w:rsidR="00F72568" w:rsidRPr="00EB4EB9" w:rsidRDefault="004A52DB" w:rsidP="00EB4EB9">
            <w:pPr>
              <w:jc w:val="both"/>
              <w:rPr>
                <w:rFonts w:ascii="Arial" w:hAnsi="Arial" w:cs="Arial"/>
                <w:sz w:val="24"/>
                <w:szCs w:val="24"/>
              </w:rPr>
            </w:pPr>
            <w:r w:rsidRPr="00EB4EB9">
              <w:rPr>
                <w:rFonts w:ascii="Arial" w:hAnsi="Arial" w:cs="Arial"/>
                <w:sz w:val="24"/>
                <w:szCs w:val="24"/>
              </w:rPr>
              <w:t>7</w:t>
            </w:r>
            <w:r w:rsidR="00F72568" w:rsidRPr="00EB4EB9">
              <w:rPr>
                <w:rFonts w:ascii="Arial" w:hAnsi="Arial" w:cs="Arial"/>
                <w:sz w:val="24"/>
                <w:szCs w:val="24"/>
              </w:rPr>
              <w:t>.1</w:t>
            </w:r>
          </w:p>
        </w:tc>
        <w:tc>
          <w:tcPr>
            <w:tcW w:w="8151" w:type="dxa"/>
          </w:tcPr>
          <w:p w:rsidR="00F72568" w:rsidRPr="00EB4EB9" w:rsidRDefault="00141879" w:rsidP="00EB4EB9">
            <w:pPr>
              <w:jc w:val="both"/>
              <w:rPr>
                <w:rFonts w:ascii="Arial" w:hAnsi="Arial" w:cs="Arial"/>
                <w:sz w:val="24"/>
                <w:szCs w:val="24"/>
              </w:rPr>
            </w:pPr>
            <w:r w:rsidRPr="00EB4EB9">
              <w:rPr>
                <w:rFonts w:ascii="Arial" w:hAnsi="Arial" w:cs="Arial"/>
                <w:spacing w:val="-2"/>
                <w:sz w:val="24"/>
                <w:szCs w:val="24"/>
              </w:rPr>
              <w:t xml:space="preserve">The Housing (Scotland) Act 2001 and Social Housing Charter places a responsibility on social landlords to consult with tenants on their rent setting proposals.  </w:t>
            </w:r>
            <w:r w:rsidRPr="00EB4EB9">
              <w:rPr>
                <w:rFonts w:ascii="Arial" w:hAnsi="Arial" w:cs="Arial"/>
                <w:sz w:val="24"/>
                <w:szCs w:val="24"/>
                <w:lang w:eastAsia="en-GB"/>
              </w:rPr>
              <w:t xml:space="preserve">The Association aims to provide clear and easy to understand information to all tenants on the rent review process.  The Association is </w:t>
            </w:r>
            <w:r w:rsidRPr="00EB4EB9">
              <w:rPr>
                <w:rFonts w:ascii="Arial" w:hAnsi="Arial" w:cs="Arial"/>
                <w:color w:val="000000"/>
                <w:sz w:val="24"/>
                <w:szCs w:val="24"/>
              </w:rPr>
              <w:t>committed to consulting extensively with tenants, Tenants and Residents Associations and our wider stakeholders.  Consultation exercises will include public meetings, presentations to Tenants and Resident Groups, drop in and awareness sessions as well as information displayed on our Website and social media platforms.</w:t>
            </w:r>
          </w:p>
        </w:tc>
      </w:tr>
      <w:tr w:rsidR="00F72568" w:rsidRPr="00EB4EB9" w:rsidTr="00EB4EB9">
        <w:trPr>
          <w:trHeight w:val="250"/>
        </w:trPr>
        <w:tc>
          <w:tcPr>
            <w:tcW w:w="884" w:type="dxa"/>
          </w:tcPr>
          <w:p w:rsidR="00F72568" w:rsidRPr="00EB4EB9" w:rsidRDefault="004A52DB" w:rsidP="00EB4EB9">
            <w:pPr>
              <w:jc w:val="both"/>
              <w:rPr>
                <w:rFonts w:ascii="Arial" w:hAnsi="Arial" w:cs="Arial"/>
                <w:sz w:val="24"/>
                <w:szCs w:val="24"/>
              </w:rPr>
            </w:pPr>
            <w:r w:rsidRPr="00EB4EB9">
              <w:rPr>
                <w:rFonts w:ascii="Arial" w:hAnsi="Arial" w:cs="Arial"/>
                <w:sz w:val="24"/>
                <w:szCs w:val="24"/>
              </w:rPr>
              <w:t>7</w:t>
            </w:r>
            <w:r w:rsidR="00141879" w:rsidRPr="00EB4EB9">
              <w:rPr>
                <w:rFonts w:ascii="Arial" w:hAnsi="Arial" w:cs="Arial"/>
                <w:sz w:val="24"/>
                <w:szCs w:val="24"/>
              </w:rPr>
              <w:t>.2</w:t>
            </w:r>
          </w:p>
        </w:tc>
        <w:tc>
          <w:tcPr>
            <w:tcW w:w="8151" w:type="dxa"/>
          </w:tcPr>
          <w:p w:rsidR="00F72568" w:rsidRPr="00EB4EB9" w:rsidRDefault="00141879" w:rsidP="00EB4EB9">
            <w:pPr>
              <w:jc w:val="both"/>
              <w:rPr>
                <w:rFonts w:ascii="Arial" w:hAnsi="Arial" w:cs="Arial"/>
                <w:sz w:val="24"/>
                <w:szCs w:val="24"/>
              </w:rPr>
            </w:pPr>
            <w:r w:rsidRPr="00EB4EB9">
              <w:rPr>
                <w:rFonts w:ascii="Arial" w:hAnsi="Arial" w:cs="Arial"/>
                <w:sz w:val="24"/>
                <w:szCs w:val="24"/>
                <w:lang w:eastAsia="en-GB"/>
              </w:rPr>
              <w:t xml:space="preserve">All tenants will be given the opportunity to provide feedback and comment on options for any proposed annual rent increase.  The results of the consultation will be reported to </w:t>
            </w:r>
            <w:r w:rsidR="00E17923" w:rsidRPr="00EB4EB9">
              <w:rPr>
                <w:rFonts w:ascii="Arial" w:hAnsi="Arial" w:cs="Arial"/>
                <w:sz w:val="24"/>
                <w:szCs w:val="24"/>
                <w:lang w:eastAsia="en-GB"/>
              </w:rPr>
              <w:t xml:space="preserve">Board Members </w:t>
            </w:r>
            <w:r w:rsidRPr="00EB4EB9">
              <w:rPr>
                <w:rFonts w:ascii="Arial" w:hAnsi="Arial" w:cs="Arial"/>
                <w:sz w:val="24"/>
                <w:szCs w:val="24"/>
                <w:lang w:eastAsia="en-GB"/>
              </w:rPr>
              <w:t>and will be taken into account when the rent levels for the following year are set</w:t>
            </w:r>
            <w:r w:rsidR="00467DAD">
              <w:rPr>
                <w:rFonts w:ascii="Arial" w:hAnsi="Arial" w:cs="Arial"/>
                <w:sz w:val="24"/>
                <w:szCs w:val="24"/>
                <w:lang w:eastAsia="en-GB"/>
              </w:rPr>
              <w:t>.</w:t>
            </w:r>
          </w:p>
        </w:tc>
      </w:tr>
      <w:tr w:rsidR="00F72568" w:rsidRPr="00EB4EB9" w:rsidTr="00EB4EB9">
        <w:trPr>
          <w:trHeight w:val="250"/>
        </w:trPr>
        <w:tc>
          <w:tcPr>
            <w:tcW w:w="884" w:type="dxa"/>
          </w:tcPr>
          <w:p w:rsidR="00F72568" w:rsidRPr="00EB4EB9" w:rsidRDefault="004A52DB" w:rsidP="00EB4EB9">
            <w:pPr>
              <w:jc w:val="both"/>
              <w:rPr>
                <w:rFonts w:ascii="Arial" w:hAnsi="Arial" w:cs="Arial"/>
                <w:sz w:val="24"/>
                <w:szCs w:val="24"/>
              </w:rPr>
            </w:pPr>
            <w:r w:rsidRPr="00EB4EB9">
              <w:rPr>
                <w:rFonts w:ascii="Arial" w:hAnsi="Arial" w:cs="Arial"/>
                <w:sz w:val="24"/>
                <w:szCs w:val="24"/>
              </w:rPr>
              <w:t>7</w:t>
            </w:r>
            <w:r w:rsidR="00C230DD" w:rsidRPr="00EB4EB9">
              <w:rPr>
                <w:rFonts w:ascii="Arial" w:hAnsi="Arial" w:cs="Arial"/>
                <w:sz w:val="24"/>
                <w:szCs w:val="24"/>
              </w:rPr>
              <w:t>.3</w:t>
            </w:r>
          </w:p>
        </w:tc>
        <w:tc>
          <w:tcPr>
            <w:tcW w:w="8151" w:type="dxa"/>
          </w:tcPr>
          <w:p w:rsidR="00F72568" w:rsidRPr="00EB4EB9" w:rsidRDefault="00141879" w:rsidP="00EB4EB9">
            <w:pPr>
              <w:jc w:val="both"/>
              <w:rPr>
                <w:rFonts w:ascii="Arial" w:hAnsi="Arial" w:cs="Arial"/>
                <w:sz w:val="24"/>
                <w:szCs w:val="24"/>
              </w:rPr>
            </w:pPr>
            <w:r w:rsidRPr="00EB4EB9">
              <w:rPr>
                <w:rFonts w:ascii="Arial" w:hAnsi="Arial" w:cs="Arial"/>
                <w:sz w:val="24"/>
                <w:szCs w:val="24"/>
                <w:lang w:eastAsia="en-GB"/>
              </w:rPr>
              <w:t xml:space="preserve">At least 4 </w:t>
            </w:r>
            <w:r w:rsidR="00E17923" w:rsidRPr="00EB4EB9">
              <w:rPr>
                <w:rFonts w:ascii="Arial" w:hAnsi="Arial" w:cs="Arial"/>
                <w:sz w:val="24"/>
                <w:szCs w:val="24"/>
                <w:lang w:eastAsia="en-GB"/>
              </w:rPr>
              <w:t>weeks’ notice</w:t>
            </w:r>
            <w:r w:rsidRPr="00EB4EB9">
              <w:rPr>
                <w:rFonts w:ascii="Arial" w:hAnsi="Arial" w:cs="Arial"/>
                <w:sz w:val="24"/>
                <w:szCs w:val="24"/>
                <w:lang w:eastAsia="en-GB"/>
              </w:rPr>
              <w:t>, in writing, will be given of any proposed changes to rental charges.</w:t>
            </w:r>
          </w:p>
        </w:tc>
      </w:tr>
      <w:tr w:rsidR="00F72568" w:rsidRPr="00EB4EB9" w:rsidTr="00EB4EB9">
        <w:trPr>
          <w:trHeight w:val="250"/>
        </w:trPr>
        <w:tc>
          <w:tcPr>
            <w:tcW w:w="884" w:type="dxa"/>
          </w:tcPr>
          <w:p w:rsidR="00F72568" w:rsidRPr="00EB4EB9" w:rsidRDefault="00F72568" w:rsidP="00EB4EB9">
            <w:pPr>
              <w:jc w:val="both"/>
              <w:rPr>
                <w:rFonts w:ascii="Arial" w:hAnsi="Arial" w:cs="Arial"/>
                <w:sz w:val="24"/>
                <w:szCs w:val="24"/>
              </w:rPr>
            </w:pPr>
          </w:p>
        </w:tc>
        <w:tc>
          <w:tcPr>
            <w:tcW w:w="8151" w:type="dxa"/>
          </w:tcPr>
          <w:p w:rsidR="00A23FA7" w:rsidRPr="00EB4EB9" w:rsidRDefault="00A23FA7" w:rsidP="00EB4EB9">
            <w:pPr>
              <w:ind w:left="103"/>
              <w:jc w:val="both"/>
              <w:rPr>
                <w:rFonts w:ascii="Arial" w:hAnsi="Arial" w:cs="Arial"/>
                <w:sz w:val="24"/>
                <w:szCs w:val="24"/>
              </w:rPr>
            </w:pPr>
          </w:p>
        </w:tc>
      </w:tr>
      <w:tr w:rsidR="00F72568" w:rsidRPr="00EB4EB9" w:rsidTr="00EB4EB9">
        <w:trPr>
          <w:trHeight w:val="250"/>
        </w:trPr>
        <w:tc>
          <w:tcPr>
            <w:tcW w:w="884" w:type="dxa"/>
          </w:tcPr>
          <w:p w:rsidR="00F72568" w:rsidRPr="00EB4EB9" w:rsidRDefault="004A52DB" w:rsidP="00EB4EB9">
            <w:pPr>
              <w:jc w:val="both"/>
              <w:rPr>
                <w:rFonts w:ascii="Arial" w:hAnsi="Arial" w:cs="Arial"/>
                <w:b/>
                <w:sz w:val="24"/>
                <w:szCs w:val="24"/>
              </w:rPr>
            </w:pPr>
            <w:r w:rsidRPr="00EB4EB9">
              <w:rPr>
                <w:rFonts w:ascii="Arial" w:hAnsi="Arial" w:cs="Arial"/>
                <w:b/>
                <w:sz w:val="24"/>
                <w:szCs w:val="24"/>
              </w:rPr>
              <w:t>8</w:t>
            </w:r>
          </w:p>
        </w:tc>
        <w:tc>
          <w:tcPr>
            <w:tcW w:w="8151" w:type="dxa"/>
          </w:tcPr>
          <w:p w:rsidR="00F72568" w:rsidRPr="00EB4EB9" w:rsidRDefault="00F72568" w:rsidP="00EB4EB9">
            <w:pPr>
              <w:jc w:val="both"/>
              <w:rPr>
                <w:rFonts w:ascii="Arial" w:hAnsi="Arial" w:cs="Arial"/>
                <w:sz w:val="24"/>
                <w:szCs w:val="24"/>
              </w:rPr>
            </w:pPr>
            <w:r w:rsidRPr="00EB4EB9">
              <w:rPr>
                <w:rFonts w:ascii="Arial" w:hAnsi="Arial" w:cs="Arial"/>
                <w:b/>
                <w:sz w:val="24"/>
                <w:szCs w:val="24"/>
              </w:rPr>
              <w:t>Equalities &amp; Diversity</w:t>
            </w:r>
          </w:p>
        </w:tc>
      </w:tr>
      <w:tr w:rsidR="00F72568" w:rsidRPr="00EB4EB9" w:rsidTr="00EB4EB9">
        <w:trPr>
          <w:trHeight w:val="250"/>
        </w:trPr>
        <w:tc>
          <w:tcPr>
            <w:tcW w:w="884" w:type="dxa"/>
          </w:tcPr>
          <w:p w:rsidR="00F72568" w:rsidRPr="00EB4EB9" w:rsidRDefault="004A52DB" w:rsidP="00EB4EB9">
            <w:pPr>
              <w:jc w:val="both"/>
              <w:rPr>
                <w:rFonts w:ascii="Arial" w:hAnsi="Arial" w:cs="Arial"/>
                <w:sz w:val="24"/>
                <w:szCs w:val="24"/>
              </w:rPr>
            </w:pPr>
            <w:r w:rsidRPr="00EB4EB9">
              <w:rPr>
                <w:rFonts w:ascii="Arial" w:hAnsi="Arial" w:cs="Arial"/>
                <w:sz w:val="24"/>
                <w:szCs w:val="24"/>
              </w:rPr>
              <w:t>8</w:t>
            </w:r>
            <w:r w:rsidR="00141879" w:rsidRPr="00EB4EB9">
              <w:rPr>
                <w:rFonts w:ascii="Arial" w:hAnsi="Arial" w:cs="Arial"/>
                <w:sz w:val="24"/>
                <w:szCs w:val="24"/>
              </w:rPr>
              <w:t>.1</w:t>
            </w:r>
          </w:p>
        </w:tc>
        <w:tc>
          <w:tcPr>
            <w:tcW w:w="8151" w:type="dxa"/>
          </w:tcPr>
          <w:p w:rsidR="00F72568" w:rsidRPr="00EB4EB9" w:rsidRDefault="00F72568" w:rsidP="00EB4EB9">
            <w:pPr>
              <w:jc w:val="both"/>
              <w:rPr>
                <w:rFonts w:ascii="Arial" w:hAnsi="Arial" w:cs="Arial"/>
                <w:sz w:val="24"/>
                <w:szCs w:val="24"/>
              </w:rPr>
            </w:pPr>
            <w:r w:rsidRPr="00EB4EB9">
              <w:rPr>
                <w:rFonts w:ascii="Arial" w:hAnsi="Arial" w:cs="Arial"/>
                <w:sz w:val="24"/>
                <w:szCs w:val="24"/>
              </w:rPr>
              <w:t xml:space="preserve">Govan Housing Association along with its subsidiary companies are committed to equality and diversity and will not discriminate in the operation of this policy on the basis of age; disability; gender reassignment; marriage and civil partnership; pregnancy and maternity; race; religion or belief; sex or sexual orientation. </w:t>
            </w:r>
          </w:p>
        </w:tc>
      </w:tr>
      <w:tr w:rsidR="00F72568" w:rsidRPr="00EB4EB9" w:rsidTr="00EB4EB9">
        <w:trPr>
          <w:trHeight w:val="250"/>
        </w:trPr>
        <w:tc>
          <w:tcPr>
            <w:tcW w:w="884" w:type="dxa"/>
          </w:tcPr>
          <w:p w:rsidR="00F72568" w:rsidRPr="00EB4EB9" w:rsidRDefault="004A52DB" w:rsidP="00EB4EB9">
            <w:pPr>
              <w:jc w:val="both"/>
              <w:rPr>
                <w:rFonts w:ascii="Arial" w:hAnsi="Arial" w:cs="Arial"/>
                <w:sz w:val="24"/>
                <w:szCs w:val="24"/>
              </w:rPr>
            </w:pPr>
            <w:r w:rsidRPr="00EB4EB9">
              <w:rPr>
                <w:rFonts w:ascii="Arial" w:hAnsi="Arial" w:cs="Arial"/>
                <w:sz w:val="24"/>
                <w:szCs w:val="24"/>
              </w:rPr>
              <w:lastRenderedPageBreak/>
              <w:t>8</w:t>
            </w:r>
            <w:r w:rsidR="00141879" w:rsidRPr="00EB4EB9">
              <w:rPr>
                <w:rFonts w:ascii="Arial" w:hAnsi="Arial" w:cs="Arial"/>
                <w:sz w:val="24"/>
                <w:szCs w:val="24"/>
              </w:rPr>
              <w:t>.2</w:t>
            </w:r>
          </w:p>
        </w:tc>
        <w:tc>
          <w:tcPr>
            <w:tcW w:w="8151" w:type="dxa"/>
          </w:tcPr>
          <w:p w:rsidR="00F72568" w:rsidRPr="00EB4EB9" w:rsidRDefault="00F72568" w:rsidP="00EB4EB9">
            <w:pPr>
              <w:jc w:val="both"/>
              <w:rPr>
                <w:rFonts w:ascii="Arial" w:hAnsi="Arial" w:cs="Arial"/>
                <w:sz w:val="24"/>
                <w:szCs w:val="24"/>
              </w:rPr>
            </w:pPr>
            <w:r w:rsidRPr="00EB4EB9">
              <w:rPr>
                <w:rFonts w:ascii="Arial" w:hAnsi="Arial" w:cs="Arial"/>
                <w:sz w:val="24"/>
                <w:szCs w:val="24"/>
              </w:rPr>
              <w:t>In line with our commitment to equal opportunities, this policy can be made available free of charge in a variety of formats including large print, translated into another language or on audio tape.</w:t>
            </w:r>
          </w:p>
        </w:tc>
      </w:tr>
      <w:tr w:rsidR="00141879" w:rsidRPr="00EB4EB9" w:rsidTr="00EB4EB9">
        <w:trPr>
          <w:trHeight w:val="250"/>
        </w:trPr>
        <w:tc>
          <w:tcPr>
            <w:tcW w:w="884" w:type="dxa"/>
          </w:tcPr>
          <w:p w:rsidR="00141879" w:rsidRPr="00EB4EB9" w:rsidRDefault="00141879" w:rsidP="00EB4EB9">
            <w:pPr>
              <w:jc w:val="both"/>
              <w:rPr>
                <w:rFonts w:ascii="Arial" w:hAnsi="Arial" w:cs="Arial"/>
                <w:b/>
                <w:sz w:val="24"/>
                <w:szCs w:val="24"/>
              </w:rPr>
            </w:pPr>
          </w:p>
        </w:tc>
        <w:tc>
          <w:tcPr>
            <w:tcW w:w="8151" w:type="dxa"/>
          </w:tcPr>
          <w:p w:rsidR="00141879" w:rsidRPr="00EB4EB9" w:rsidRDefault="00141879" w:rsidP="00EB4EB9">
            <w:pPr>
              <w:jc w:val="both"/>
              <w:rPr>
                <w:rFonts w:ascii="Arial" w:hAnsi="Arial" w:cs="Arial"/>
                <w:sz w:val="24"/>
                <w:szCs w:val="24"/>
              </w:rPr>
            </w:pPr>
          </w:p>
        </w:tc>
      </w:tr>
      <w:tr w:rsidR="00141879" w:rsidRPr="00EB4EB9" w:rsidTr="00EB4EB9">
        <w:trPr>
          <w:trHeight w:val="250"/>
        </w:trPr>
        <w:tc>
          <w:tcPr>
            <w:tcW w:w="884" w:type="dxa"/>
          </w:tcPr>
          <w:p w:rsidR="00141879" w:rsidRPr="00EB4EB9" w:rsidRDefault="004A52DB" w:rsidP="00EB4EB9">
            <w:pPr>
              <w:jc w:val="both"/>
              <w:rPr>
                <w:rFonts w:ascii="Arial" w:hAnsi="Arial" w:cs="Arial"/>
                <w:b/>
                <w:sz w:val="24"/>
                <w:szCs w:val="24"/>
              </w:rPr>
            </w:pPr>
            <w:r w:rsidRPr="00EB4EB9">
              <w:rPr>
                <w:rFonts w:ascii="Arial" w:hAnsi="Arial" w:cs="Arial"/>
                <w:b/>
                <w:sz w:val="24"/>
                <w:szCs w:val="24"/>
              </w:rPr>
              <w:t>9</w:t>
            </w:r>
          </w:p>
        </w:tc>
        <w:tc>
          <w:tcPr>
            <w:tcW w:w="8151" w:type="dxa"/>
          </w:tcPr>
          <w:p w:rsidR="00141879" w:rsidRPr="00EB4EB9" w:rsidRDefault="00141879" w:rsidP="00EB4EB9">
            <w:pPr>
              <w:jc w:val="both"/>
              <w:rPr>
                <w:rFonts w:ascii="Arial" w:hAnsi="Arial" w:cs="Arial"/>
                <w:b/>
                <w:sz w:val="24"/>
                <w:szCs w:val="24"/>
              </w:rPr>
            </w:pPr>
            <w:r w:rsidRPr="00EB4EB9">
              <w:rPr>
                <w:rFonts w:ascii="Arial" w:hAnsi="Arial" w:cs="Arial"/>
                <w:b/>
                <w:sz w:val="24"/>
                <w:szCs w:val="24"/>
              </w:rPr>
              <w:t>Implementation, Monitoring and Review</w:t>
            </w:r>
          </w:p>
        </w:tc>
      </w:tr>
      <w:tr w:rsidR="00F72568" w:rsidRPr="00EB4EB9" w:rsidTr="00EB4EB9">
        <w:trPr>
          <w:trHeight w:val="250"/>
        </w:trPr>
        <w:tc>
          <w:tcPr>
            <w:tcW w:w="884" w:type="dxa"/>
          </w:tcPr>
          <w:p w:rsidR="00F72568" w:rsidRPr="00EB4EB9" w:rsidRDefault="004A52DB" w:rsidP="00EB4EB9">
            <w:pPr>
              <w:jc w:val="both"/>
              <w:rPr>
                <w:rFonts w:ascii="Arial" w:hAnsi="Arial" w:cs="Arial"/>
                <w:sz w:val="24"/>
                <w:szCs w:val="24"/>
              </w:rPr>
            </w:pPr>
            <w:r w:rsidRPr="00EB4EB9">
              <w:rPr>
                <w:rFonts w:ascii="Arial" w:hAnsi="Arial" w:cs="Arial"/>
                <w:sz w:val="24"/>
                <w:szCs w:val="24"/>
              </w:rPr>
              <w:t>9</w:t>
            </w:r>
            <w:r w:rsidR="00141879" w:rsidRPr="00EB4EB9">
              <w:rPr>
                <w:rFonts w:ascii="Arial" w:hAnsi="Arial" w:cs="Arial"/>
                <w:sz w:val="24"/>
                <w:szCs w:val="24"/>
              </w:rPr>
              <w:t>.1</w:t>
            </w:r>
          </w:p>
        </w:tc>
        <w:tc>
          <w:tcPr>
            <w:tcW w:w="8151" w:type="dxa"/>
          </w:tcPr>
          <w:p w:rsidR="00F72568" w:rsidRPr="00EB4EB9" w:rsidRDefault="00141879" w:rsidP="00EB4EB9">
            <w:pPr>
              <w:jc w:val="both"/>
              <w:rPr>
                <w:rFonts w:ascii="Arial" w:hAnsi="Arial" w:cs="Arial"/>
                <w:sz w:val="24"/>
                <w:szCs w:val="24"/>
              </w:rPr>
            </w:pPr>
            <w:r w:rsidRPr="00EB4EB9">
              <w:rPr>
                <w:rFonts w:ascii="Arial" w:hAnsi="Arial" w:cs="Arial"/>
                <w:sz w:val="24"/>
                <w:szCs w:val="24"/>
              </w:rPr>
              <w:t>The Head of Operational Performance is responsible for ensuring this policy is implemented by all relevant staff.</w:t>
            </w:r>
          </w:p>
        </w:tc>
      </w:tr>
      <w:tr w:rsidR="00141879" w:rsidRPr="00EB4EB9" w:rsidTr="00EB4EB9">
        <w:trPr>
          <w:trHeight w:val="250"/>
        </w:trPr>
        <w:tc>
          <w:tcPr>
            <w:tcW w:w="884" w:type="dxa"/>
          </w:tcPr>
          <w:p w:rsidR="00141879" w:rsidRPr="00EB4EB9" w:rsidRDefault="004A52DB" w:rsidP="00EB4EB9">
            <w:pPr>
              <w:jc w:val="both"/>
              <w:rPr>
                <w:rFonts w:ascii="Arial" w:hAnsi="Arial" w:cs="Arial"/>
                <w:sz w:val="24"/>
                <w:szCs w:val="24"/>
              </w:rPr>
            </w:pPr>
            <w:r w:rsidRPr="00EB4EB9">
              <w:rPr>
                <w:rFonts w:ascii="Arial" w:hAnsi="Arial" w:cs="Arial"/>
                <w:sz w:val="24"/>
                <w:szCs w:val="24"/>
              </w:rPr>
              <w:t>9</w:t>
            </w:r>
            <w:r w:rsidR="00141879" w:rsidRPr="00EB4EB9">
              <w:rPr>
                <w:rFonts w:ascii="Arial" w:hAnsi="Arial" w:cs="Arial"/>
                <w:sz w:val="24"/>
                <w:szCs w:val="24"/>
              </w:rPr>
              <w:t>.2</w:t>
            </w:r>
          </w:p>
        </w:tc>
        <w:tc>
          <w:tcPr>
            <w:tcW w:w="8151" w:type="dxa"/>
          </w:tcPr>
          <w:p w:rsidR="00141879" w:rsidRPr="00EB4EB9" w:rsidRDefault="00141879" w:rsidP="00EB4EB9">
            <w:pPr>
              <w:pStyle w:val="BodyTextIndent"/>
              <w:jc w:val="both"/>
              <w:rPr>
                <w:rFonts w:ascii="Arial" w:hAnsi="Arial" w:cs="Arial"/>
                <w:sz w:val="24"/>
                <w:szCs w:val="24"/>
              </w:rPr>
            </w:pPr>
            <w:r w:rsidRPr="00EB4EB9">
              <w:rPr>
                <w:rFonts w:ascii="Arial" w:hAnsi="Arial" w:cs="Arial"/>
                <w:sz w:val="24"/>
                <w:szCs w:val="24"/>
              </w:rPr>
              <w:t>The Association will monitor our performance in relation to this policy by carrying out the following steps, to ensure we manage and implement effectively the Scottish Social Housing Charter outcomes noted in this policy.</w:t>
            </w:r>
          </w:p>
          <w:p w:rsidR="00141879" w:rsidRPr="00EB4EB9" w:rsidRDefault="00141879" w:rsidP="00EB4EB9">
            <w:pPr>
              <w:pStyle w:val="BodyTextIndent"/>
              <w:numPr>
                <w:ilvl w:val="0"/>
                <w:numId w:val="2"/>
              </w:numPr>
              <w:spacing w:after="0" w:line="240" w:lineRule="auto"/>
              <w:ind w:left="712" w:hanging="283"/>
              <w:jc w:val="both"/>
              <w:rPr>
                <w:rFonts w:ascii="Arial" w:hAnsi="Arial" w:cs="Arial"/>
                <w:sz w:val="24"/>
                <w:szCs w:val="24"/>
              </w:rPr>
            </w:pPr>
            <w:r w:rsidRPr="00EB4EB9">
              <w:rPr>
                <w:rFonts w:ascii="Arial" w:hAnsi="Arial" w:cs="Arial"/>
                <w:sz w:val="24"/>
                <w:szCs w:val="24"/>
              </w:rPr>
              <w:t>Annual reporting to the Association’s Board on any proposed rent increases</w:t>
            </w:r>
          </w:p>
          <w:p w:rsidR="00141879" w:rsidRPr="00EB4EB9" w:rsidRDefault="00141879" w:rsidP="00EB4EB9">
            <w:pPr>
              <w:pStyle w:val="BodyTextIndent"/>
              <w:numPr>
                <w:ilvl w:val="0"/>
                <w:numId w:val="2"/>
              </w:numPr>
              <w:spacing w:after="0" w:line="240" w:lineRule="auto"/>
              <w:ind w:left="712" w:hanging="283"/>
              <w:jc w:val="both"/>
              <w:rPr>
                <w:rFonts w:ascii="Arial" w:hAnsi="Arial" w:cs="Arial"/>
                <w:sz w:val="24"/>
                <w:szCs w:val="24"/>
              </w:rPr>
            </w:pPr>
            <w:r w:rsidRPr="00EB4EB9">
              <w:rPr>
                <w:rFonts w:ascii="Arial" w:hAnsi="Arial" w:cs="Arial"/>
                <w:sz w:val="24"/>
                <w:szCs w:val="24"/>
              </w:rPr>
              <w:t>Check affordability in comparison to the national average and also against rent charged by local RSL’s</w:t>
            </w:r>
          </w:p>
          <w:p w:rsidR="00141879" w:rsidRPr="00EB4EB9" w:rsidRDefault="00141879" w:rsidP="00EB4EB9">
            <w:pPr>
              <w:pStyle w:val="BodyTextIndent"/>
              <w:numPr>
                <w:ilvl w:val="0"/>
                <w:numId w:val="2"/>
              </w:numPr>
              <w:spacing w:after="0" w:line="240" w:lineRule="auto"/>
              <w:ind w:left="712" w:hanging="283"/>
              <w:jc w:val="both"/>
              <w:rPr>
                <w:rFonts w:ascii="Arial" w:hAnsi="Arial" w:cs="Arial"/>
                <w:sz w:val="24"/>
                <w:szCs w:val="24"/>
              </w:rPr>
            </w:pPr>
            <w:r w:rsidRPr="00EB4EB9">
              <w:rPr>
                <w:rFonts w:ascii="Arial" w:hAnsi="Arial" w:cs="Arial"/>
                <w:sz w:val="24"/>
                <w:szCs w:val="24"/>
              </w:rPr>
              <w:t>Reporting refusals of proposals for ‘Fair Rents’ charges to the Board</w:t>
            </w:r>
          </w:p>
          <w:p w:rsidR="00141879" w:rsidRPr="00EB4EB9" w:rsidRDefault="00141879" w:rsidP="00EB4EB9">
            <w:pPr>
              <w:pStyle w:val="BodyTextIndent"/>
              <w:spacing w:after="0" w:line="240" w:lineRule="auto"/>
              <w:ind w:left="1440"/>
              <w:jc w:val="both"/>
              <w:rPr>
                <w:rFonts w:ascii="Arial" w:hAnsi="Arial" w:cs="Arial"/>
                <w:sz w:val="24"/>
                <w:szCs w:val="24"/>
              </w:rPr>
            </w:pPr>
          </w:p>
          <w:p w:rsidR="00141879" w:rsidRPr="00EB4EB9" w:rsidRDefault="00141879" w:rsidP="00EB4EB9">
            <w:pPr>
              <w:jc w:val="both"/>
              <w:rPr>
                <w:rFonts w:ascii="Arial" w:hAnsi="Arial" w:cs="Arial"/>
                <w:sz w:val="24"/>
                <w:szCs w:val="24"/>
              </w:rPr>
            </w:pPr>
            <w:r w:rsidRPr="00EB4EB9">
              <w:rPr>
                <w:rFonts w:ascii="Arial" w:hAnsi="Arial" w:cs="Arial"/>
                <w:sz w:val="24"/>
                <w:szCs w:val="24"/>
              </w:rPr>
              <w:t>Reporting to Board of the outcome of satisfaction monitoring in relation to rents being value for money as required by the Scottish Social Housing Charter</w:t>
            </w:r>
            <w:r w:rsidR="00467DAD">
              <w:rPr>
                <w:rFonts w:ascii="Arial" w:hAnsi="Arial" w:cs="Arial"/>
                <w:sz w:val="24"/>
                <w:szCs w:val="24"/>
              </w:rPr>
              <w:t>.</w:t>
            </w:r>
          </w:p>
        </w:tc>
      </w:tr>
      <w:tr w:rsidR="00141879" w:rsidRPr="00EB4EB9" w:rsidTr="00EB4EB9">
        <w:trPr>
          <w:trHeight w:val="250"/>
        </w:trPr>
        <w:tc>
          <w:tcPr>
            <w:tcW w:w="884" w:type="dxa"/>
          </w:tcPr>
          <w:p w:rsidR="00141879" w:rsidRPr="00EB4EB9" w:rsidRDefault="004A52DB" w:rsidP="00EB4EB9">
            <w:pPr>
              <w:jc w:val="both"/>
              <w:rPr>
                <w:rFonts w:ascii="Arial" w:hAnsi="Arial" w:cs="Arial"/>
                <w:sz w:val="24"/>
                <w:szCs w:val="24"/>
              </w:rPr>
            </w:pPr>
            <w:r w:rsidRPr="00EB4EB9">
              <w:rPr>
                <w:rFonts w:ascii="Arial" w:hAnsi="Arial" w:cs="Arial"/>
                <w:sz w:val="24"/>
                <w:szCs w:val="24"/>
              </w:rPr>
              <w:t>9</w:t>
            </w:r>
            <w:r w:rsidR="00141879" w:rsidRPr="00EB4EB9">
              <w:rPr>
                <w:rFonts w:ascii="Arial" w:hAnsi="Arial" w:cs="Arial"/>
                <w:sz w:val="24"/>
                <w:szCs w:val="24"/>
              </w:rPr>
              <w:t>.3</w:t>
            </w:r>
          </w:p>
        </w:tc>
        <w:tc>
          <w:tcPr>
            <w:tcW w:w="8151" w:type="dxa"/>
          </w:tcPr>
          <w:p w:rsidR="00141879" w:rsidRPr="00EB4EB9" w:rsidRDefault="00141879" w:rsidP="00EB4EB9">
            <w:pPr>
              <w:jc w:val="both"/>
              <w:rPr>
                <w:rFonts w:ascii="Arial" w:hAnsi="Arial" w:cs="Arial"/>
                <w:sz w:val="24"/>
                <w:szCs w:val="24"/>
              </w:rPr>
            </w:pPr>
            <w:r w:rsidRPr="00EB4EB9">
              <w:rPr>
                <w:rFonts w:ascii="Arial" w:hAnsi="Arial" w:cs="Arial"/>
                <w:sz w:val="24"/>
                <w:szCs w:val="24"/>
              </w:rPr>
              <w:t>This policy will be reviewed every 5 years but reserve the right to make any additions or changes considered necessary out with the normal review date.</w:t>
            </w:r>
          </w:p>
        </w:tc>
      </w:tr>
      <w:tr w:rsidR="00141879" w:rsidRPr="00EB4EB9" w:rsidTr="00EB4EB9">
        <w:trPr>
          <w:trHeight w:val="250"/>
        </w:trPr>
        <w:tc>
          <w:tcPr>
            <w:tcW w:w="884" w:type="dxa"/>
          </w:tcPr>
          <w:p w:rsidR="00141879" w:rsidRPr="00EB4EB9" w:rsidRDefault="00141879" w:rsidP="00EB4EB9">
            <w:pPr>
              <w:jc w:val="both"/>
              <w:rPr>
                <w:rFonts w:ascii="Arial" w:hAnsi="Arial" w:cs="Arial"/>
                <w:b/>
                <w:sz w:val="24"/>
                <w:szCs w:val="24"/>
              </w:rPr>
            </w:pPr>
          </w:p>
        </w:tc>
        <w:tc>
          <w:tcPr>
            <w:tcW w:w="8151" w:type="dxa"/>
          </w:tcPr>
          <w:p w:rsidR="00141879" w:rsidRPr="00EB4EB9" w:rsidRDefault="00141879" w:rsidP="00EB4EB9">
            <w:pPr>
              <w:jc w:val="both"/>
              <w:rPr>
                <w:rFonts w:ascii="Arial" w:hAnsi="Arial" w:cs="Arial"/>
                <w:sz w:val="24"/>
                <w:szCs w:val="24"/>
              </w:rPr>
            </w:pPr>
          </w:p>
        </w:tc>
      </w:tr>
      <w:tr w:rsidR="00F72568" w:rsidRPr="00EB4EB9" w:rsidTr="00EB4EB9">
        <w:trPr>
          <w:trHeight w:val="250"/>
        </w:trPr>
        <w:tc>
          <w:tcPr>
            <w:tcW w:w="884" w:type="dxa"/>
          </w:tcPr>
          <w:p w:rsidR="00F72568" w:rsidRPr="00EB4EB9" w:rsidRDefault="00A562B2" w:rsidP="00EB4EB9">
            <w:pPr>
              <w:jc w:val="both"/>
              <w:rPr>
                <w:rFonts w:ascii="Arial" w:hAnsi="Arial" w:cs="Arial"/>
                <w:b/>
                <w:sz w:val="24"/>
                <w:szCs w:val="24"/>
              </w:rPr>
            </w:pPr>
            <w:r w:rsidRPr="00EB4EB9">
              <w:rPr>
                <w:rFonts w:ascii="Arial" w:hAnsi="Arial" w:cs="Arial"/>
                <w:b/>
                <w:sz w:val="24"/>
                <w:szCs w:val="24"/>
              </w:rPr>
              <w:t>1</w:t>
            </w:r>
            <w:r w:rsidR="004A52DB" w:rsidRPr="00EB4EB9">
              <w:rPr>
                <w:rFonts w:ascii="Arial" w:hAnsi="Arial" w:cs="Arial"/>
                <w:b/>
                <w:sz w:val="24"/>
                <w:szCs w:val="24"/>
              </w:rPr>
              <w:t>0</w:t>
            </w:r>
          </w:p>
        </w:tc>
        <w:tc>
          <w:tcPr>
            <w:tcW w:w="8151" w:type="dxa"/>
          </w:tcPr>
          <w:p w:rsidR="00F72568" w:rsidRPr="00EB4EB9" w:rsidRDefault="00F72568" w:rsidP="00EB4EB9">
            <w:pPr>
              <w:jc w:val="both"/>
              <w:rPr>
                <w:rFonts w:ascii="Arial" w:hAnsi="Arial" w:cs="Arial"/>
                <w:b/>
                <w:sz w:val="24"/>
                <w:szCs w:val="24"/>
              </w:rPr>
            </w:pPr>
            <w:r w:rsidRPr="00EB4EB9">
              <w:rPr>
                <w:rFonts w:ascii="Arial" w:hAnsi="Arial" w:cs="Arial"/>
                <w:b/>
                <w:sz w:val="24"/>
                <w:szCs w:val="24"/>
              </w:rPr>
              <w:t>Complaints</w:t>
            </w:r>
          </w:p>
        </w:tc>
      </w:tr>
      <w:tr w:rsidR="00F72568" w:rsidRPr="00EB4EB9" w:rsidTr="00EB4EB9">
        <w:trPr>
          <w:trHeight w:val="250"/>
        </w:trPr>
        <w:tc>
          <w:tcPr>
            <w:tcW w:w="884" w:type="dxa"/>
          </w:tcPr>
          <w:p w:rsidR="00F72568" w:rsidRPr="00EB4EB9" w:rsidRDefault="00A562B2" w:rsidP="00EB4EB9">
            <w:pPr>
              <w:jc w:val="both"/>
              <w:rPr>
                <w:rFonts w:ascii="Arial" w:hAnsi="Arial" w:cs="Arial"/>
                <w:sz w:val="24"/>
                <w:szCs w:val="24"/>
              </w:rPr>
            </w:pPr>
            <w:r w:rsidRPr="00EB4EB9">
              <w:rPr>
                <w:rFonts w:ascii="Arial" w:hAnsi="Arial" w:cs="Arial"/>
                <w:sz w:val="24"/>
                <w:szCs w:val="24"/>
              </w:rPr>
              <w:t>1</w:t>
            </w:r>
            <w:r w:rsidR="004A52DB" w:rsidRPr="00EB4EB9">
              <w:rPr>
                <w:rFonts w:ascii="Arial" w:hAnsi="Arial" w:cs="Arial"/>
                <w:sz w:val="24"/>
                <w:szCs w:val="24"/>
              </w:rPr>
              <w:t>0</w:t>
            </w:r>
            <w:r w:rsidR="00F72568" w:rsidRPr="00EB4EB9">
              <w:rPr>
                <w:rFonts w:ascii="Arial" w:hAnsi="Arial" w:cs="Arial"/>
                <w:sz w:val="24"/>
                <w:szCs w:val="24"/>
              </w:rPr>
              <w:t>.1</w:t>
            </w:r>
          </w:p>
        </w:tc>
        <w:tc>
          <w:tcPr>
            <w:tcW w:w="8151" w:type="dxa"/>
          </w:tcPr>
          <w:p w:rsidR="00F72568" w:rsidRPr="00EB4EB9" w:rsidRDefault="00F72568" w:rsidP="00EB4EB9">
            <w:pPr>
              <w:jc w:val="both"/>
              <w:rPr>
                <w:rFonts w:ascii="Arial" w:hAnsi="Arial" w:cs="Arial"/>
                <w:sz w:val="24"/>
                <w:szCs w:val="24"/>
              </w:rPr>
            </w:pPr>
            <w:r w:rsidRPr="00EB4EB9">
              <w:rPr>
                <w:rFonts w:ascii="Arial" w:hAnsi="Arial" w:cs="Arial"/>
                <w:sz w:val="24"/>
                <w:szCs w:val="24"/>
              </w:rPr>
              <w:t>Anyone who feels aggrieved by the service they have received from staff in carrying out their responsibilities in relation to this policy and its associated procedures can make an informal or formal complaint.</w:t>
            </w:r>
          </w:p>
        </w:tc>
      </w:tr>
      <w:tr w:rsidR="00F72568" w:rsidRPr="00EB4EB9" w:rsidTr="00EB4EB9">
        <w:trPr>
          <w:trHeight w:val="250"/>
        </w:trPr>
        <w:tc>
          <w:tcPr>
            <w:tcW w:w="884" w:type="dxa"/>
          </w:tcPr>
          <w:p w:rsidR="00F72568" w:rsidRPr="00EB4EB9" w:rsidRDefault="00A562B2" w:rsidP="00EB4EB9">
            <w:pPr>
              <w:jc w:val="both"/>
              <w:rPr>
                <w:rFonts w:ascii="Arial" w:hAnsi="Arial" w:cs="Arial"/>
                <w:sz w:val="24"/>
                <w:szCs w:val="24"/>
              </w:rPr>
            </w:pPr>
            <w:r w:rsidRPr="00EB4EB9">
              <w:rPr>
                <w:rFonts w:ascii="Arial" w:hAnsi="Arial" w:cs="Arial"/>
                <w:sz w:val="24"/>
                <w:szCs w:val="24"/>
              </w:rPr>
              <w:t>1</w:t>
            </w:r>
            <w:r w:rsidR="004A52DB" w:rsidRPr="00EB4EB9">
              <w:rPr>
                <w:rFonts w:ascii="Arial" w:hAnsi="Arial" w:cs="Arial"/>
                <w:sz w:val="24"/>
                <w:szCs w:val="24"/>
              </w:rPr>
              <w:t>0.</w:t>
            </w:r>
            <w:r w:rsidR="00F72568" w:rsidRPr="00EB4EB9">
              <w:rPr>
                <w:rFonts w:ascii="Arial" w:hAnsi="Arial" w:cs="Arial"/>
                <w:sz w:val="24"/>
                <w:szCs w:val="24"/>
              </w:rPr>
              <w:t>2</w:t>
            </w:r>
          </w:p>
        </w:tc>
        <w:tc>
          <w:tcPr>
            <w:tcW w:w="8151" w:type="dxa"/>
          </w:tcPr>
          <w:p w:rsidR="00F72568" w:rsidRPr="00EB4EB9" w:rsidRDefault="00F72568" w:rsidP="00EB4EB9">
            <w:pPr>
              <w:jc w:val="both"/>
              <w:rPr>
                <w:rFonts w:ascii="Arial" w:hAnsi="Arial" w:cs="Arial"/>
                <w:sz w:val="24"/>
                <w:szCs w:val="24"/>
              </w:rPr>
            </w:pPr>
            <w:r w:rsidRPr="00EB4EB9">
              <w:rPr>
                <w:rFonts w:ascii="Arial" w:hAnsi="Arial" w:cs="Arial"/>
                <w:sz w:val="24"/>
                <w:szCs w:val="24"/>
              </w:rPr>
              <w:t>All complaints will be fully investigated in accordance with Govan Housing Group’s Complaints Procedure. A written guide on the complaints process is readily available to customers on request, is on our website and is on display in the reception area of the office</w:t>
            </w:r>
            <w:r w:rsidRPr="00EB4EB9">
              <w:rPr>
                <w:sz w:val="24"/>
                <w:szCs w:val="24"/>
              </w:rPr>
              <w:t>.</w:t>
            </w:r>
          </w:p>
        </w:tc>
      </w:tr>
    </w:tbl>
    <w:p w:rsidR="003C20A4" w:rsidRPr="00071495" w:rsidRDefault="003C20A4" w:rsidP="00EB4EB9">
      <w:pPr>
        <w:spacing w:after="160" w:line="259" w:lineRule="auto"/>
        <w:jc w:val="both"/>
        <w:rPr>
          <w:rFonts w:ascii="Arial" w:eastAsia="Calibri" w:hAnsi="Arial" w:cs="Arial"/>
          <w:b/>
          <w:bCs/>
          <w:spacing w:val="-3"/>
          <w:sz w:val="24"/>
          <w:szCs w:val="24"/>
          <w:lang w:val="en-US"/>
        </w:rPr>
      </w:pPr>
    </w:p>
    <w:sectPr w:rsidR="003C20A4" w:rsidRPr="00071495" w:rsidSect="003C2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C26C3"/>
    <w:multiLevelType w:val="hybridMultilevel"/>
    <w:tmpl w:val="98100A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E9458A5"/>
    <w:multiLevelType w:val="multilevel"/>
    <w:tmpl w:val="A35ED9CC"/>
    <w:lvl w:ilvl="0">
      <w:start w:val="1"/>
      <w:numFmt w:val="decimal"/>
      <w:pStyle w:val="Heading1"/>
      <w:lvlText w:val="%1."/>
      <w:lvlJc w:val="left"/>
      <w:pPr>
        <w:ind w:left="1080" w:hanging="720"/>
      </w:pPr>
      <w:rPr>
        <w:rFonts w:hint="default"/>
        <w:b w:val="0"/>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FD"/>
    <w:rsid w:val="00001320"/>
    <w:rsid w:val="00040914"/>
    <w:rsid w:val="000555A3"/>
    <w:rsid w:val="0007074F"/>
    <w:rsid w:val="00071495"/>
    <w:rsid w:val="000A080C"/>
    <w:rsid w:val="000F64A3"/>
    <w:rsid w:val="00141879"/>
    <w:rsid w:val="00150279"/>
    <w:rsid w:val="001B6C28"/>
    <w:rsid w:val="001E6321"/>
    <w:rsid w:val="00207E7B"/>
    <w:rsid w:val="002426C3"/>
    <w:rsid w:val="002E110F"/>
    <w:rsid w:val="0032222C"/>
    <w:rsid w:val="00343CF7"/>
    <w:rsid w:val="003A32B6"/>
    <w:rsid w:val="003A4C0A"/>
    <w:rsid w:val="003A5850"/>
    <w:rsid w:val="003A775C"/>
    <w:rsid w:val="003C20A4"/>
    <w:rsid w:val="003C2542"/>
    <w:rsid w:val="003D154E"/>
    <w:rsid w:val="00423723"/>
    <w:rsid w:val="00461CD4"/>
    <w:rsid w:val="00466E29"/>
    <w:rsid w:val="00467DAD"/>
    <w:rsid w:val="0048194D"/>
    <w:rsid w:val="0048695E"/>
    <w:rsid w:val="004A52DB"/>
    <w:rsid w:val="004D0C81"/>
    <w:rsid w:val="004D5652"/>
    <w:rsid w:val="005932E4"/>
    <w:rsid w:val="005D272A"/>
    <w:rsid w:val="00607089"/>
    <w:rsid w:val="00626B54"/>
    <w:rsid w:val="00666FAB"/>
    <w:rsid w:val="00717911"/>
    <w:rsid w:val="00745869"/>
    <w:rsid w:val="00753603"/>
    <w:rsid w:val="007575A1"/>
    <w:rsid w:val="007E2796"/>
    <w:rsid w:val="008912F6"/>
    <w:rsid w:val="008D5ABC"/>
    <w:rsid w:val="008D7BED"/>
    <w:rsid w:val="008E5BE7"/>
    <w:rsid w:val="008F2DBB"/>
    <w:rsid w:val="008F6242"/>
    <w:rsid w:val="00902F8A"/>
    <w:rsid w:val="0093030F"/>
    <w:rsid w:val="00961334"/>
    <w:rsid w:val="009B675F"/>
    <w:rsid w:val="009C70C5"/>
    <w:rsid w:val="009E6E1B"/>
    <w:rsid w:val="00A23627"/>
    <w:rsid w:val="00A23FA7"/>
    <w:rsid w:val="00A44A2A"/>
    <w:rsid w:val="00A55F42"/>
    <w:rsid w:val="00A562B2"/>
    <w:rsid w:val="00A73ECF"/>
    <w:rsid w:val="00AE7E6C"/>
    <w:rsid w:val="00BC00A7"/>
    <w:rsid w:val="00C00D21"/>
    <w:rsid w:val="00C230DD"/>
    <w:rsid w:val="00D30F6F"/>
    <w:rsid w:val="00D5065C"/>
    <w:rsid w:val="00DA44EE"/>
    <w:rsid w:val="00DB3E89"/>
    <w:rsid w:val="00E00377"/>
    <w:rsid w:val="00E13B91"/>
    <w:rsid w:val="00E17923"/>
    <w:rsid w:val="00E36179"/>
    <w:rsid w:val="00EB18E3"/>
    <w:rsid w:val="00EB4EB9"/>
    <w:rsid w:val="00EC2A76"/>
    <w:rsid w:val="00ED41EE"/>
    <w:rsid w:val="00EF63E2"/>
    <w:rsid w:val="00F11602"/>
    <w:rsid w:val="00F469FD"/>
    <w:rsid w:val="00F719CE"/>
    <w:rsid w:val="00F72568"/>
    <w:rsid w:val="00F75F59"/>
    <w:rsid w:val="00FC0EBB"/>
    <w:rsid w:val="00FD2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7350E-B2C6-4813-BC4C-1A9F5958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9FD"/>
    <w:pPr>
      <w:spacing w:after="200" w:line="276" w:lineRule="auto"/>
    </w:pPr>
  </w:style>
  <w:style w:type="paragraph" w:styleId="Heading1">
    <w:name w:val="heading 1"/>
    <w:basedOn w:val="Normal"/>
    <w:next w:val="Normal"/>
    <w:link w:val="Heading1Char"/>
    <w:autoRedefine/>
    <w:qFormat/>
    <w:rsid w:val="00A73ECF"/>
    <w:pPr>
      <w:keepNext/>
      <w:keepLines/>
      <w:numPr>
        <w:numId w:val="1"/>
      </w:numPr>
      <w:spacing w:after="0" w:line="240" w:lineRule="auto"/>
      <w:jc w:val="both"/>
      <w:outlineLvl w:val="0"/>
    </w:pPr>
    <w:rPr>
      <w:rFonts w:ascii="Arial" w:eastAsia="Calibri" w:hAnsi="Arial" w:cs="Arial"/>
      <w:b/>
      <w:bCs/>
      <w:spacing w:val="-3"/>
      <w:lang w:val="en-US"/>
    </w:rPr>
  </w:style>
  <w:style w:type="paragraph" w:styleId="Heading4">
    <w:name w:val="heading 4"/>
    <w:basedOn w:val="Normal"/>
    <w:next w:val="Normal"/>
    <w:link w:val="Heading4Char"/>
    <w:uiPriority w:val="9"/>
    <w:unhideWhenUsed/>
    <w:qFormat/>
    <w:rsid w:val="000013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ECF"/>
    <w:rPr>
      <w:rFonts w:ascii="Arial" w:eastAsia="Calibri" w:hAnsi="Arial" w:cs="Arial"/>
      <w:b/>
      <w:bCs/>
      <w:spacing w:val="-3"/>
      <w:lang w:val="en-US"/>
    </w:rPr>
  </w:style>
  <w:style w:type="paragraph" w:styleId="ListParagraph">
    <w:name w:val="List Paragraph"/>
    <w:basedOn w:val="Normal"/>
    <w:uiPriority w:val="34"/>
    <w:qFormat/>
    <w:rsid w:val="00F469FD"/>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styleId="NoSpacing">
    <w:name w:val="No Spacing"/>
    <w:uiPriority w:val="1"/>
    <w:qFormat/>
    <w:rsid w:val="00F469FD"/>
    <w:pPr>
      <w:spacing w:after="0" w:line="240" w:lineRule="auto"/>
    </w:pPr>
  </w:style>
  <w:style w:type="paragraph" w:customStyle="1" w:styleId="TableParagraph">
    <w:name w:val="Table Paragraph"/>
    <w:basedOn w:val="Normal"/>
    <w:uiPriority w:val="1"/>
    <w:rsid w:val="007575A1"/>
    <w:pPr>
      <w:autoSpaceDE w:val="0"/>
      <w:autoSpaceDN w:val="0"/>
      <w:spacing w:after="0" w:line="210" w:lineRule="exact"/>
      <w:ind w:left="107"/>
    </w:pPr>
    <w:rPr>
      <w:rFonts w:ascii="Arial" w:hAnsi="Arial" w:cs="Arial"/>
    </w:rPr>
  </w:style>
  <w:style w:type="table" w:styleId="TableGrid">
    <w:name w:val="Table Grid"/>
    <w:basedOn w:val="TableNormal"/>
    <w:uiPriority w:val="39"/>
    <w:rsid w:val="00FD2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334"/>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001320"/>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0013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A32B6"/>
    <w:rPr>
      <w:color w:val="0563C1" w:themeColor="hyperlink"/>
      <w:u w:val="single"/>
    </w:rPr>
  </w:style>
  <w:style w:type="character" w:customStyle="1" w:styleId="apple-converted-space">
    <w:name w:val="apple-converted-space"/>
    <w:rsid w:val="00626B54"/>
  </w:style>
  <w:style w:type="paragraph" w:styleId="BodyTextIndent2">
    <w:name w:val="Body Text Indent 2"/>
    <w:basedOn w:val="Normal"/>
    <w:link w:val="BodyTextIndent2Char"/>
    <w:rsid w:val="00141879"/>
    <w:pPr>
      <w:spacing w:after="0" w:line="240" w:lineRule="auto"/>
      <w:ind w:left="709" w:hanging="709"/>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141879"/>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141879"/>
    <w:pPr>
      <w:spacing w:after="120"/>
      <w:ind w:left="283"/>
    </w:pPr>
  </w:style>
  <w:style w:type="character" w:customStyle="1" w:styleId="BodyTextIndentChar">
    <w:name w:val="Body Text Indent Char"/>
    <w:basedOn w:val="DefaultParagraphFont"/>
    <w:link w:val="BodyTextIndent"/>
    <w:uiPriority w:val="99"/>
    <w:semiHidden/>
    <w:rsid w:val="00141879"/>
  </w:style>
  <w:style w:type="paragraph" w:styleId="BalloonText">
    <w:name w:val="Balloon Text"/>
    <w:basedOn w:val="Normal"/>
    <w:link w:val="BalloonTextChar"/>
    <w:uiPriority w:val="99"/>
    <w:semiHidden/>
    <w:unhideWhenUsed/>
    <w:rsid w:val="000A0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80911">
      <w:bodyDiv w:val="1"/>
      <w:marLeft w:val="0"/>
      <w:marRight w:val="0"/>
      <w:marTop w:val="0"/>
      <w:marBottom w:val="0"/>
      <w:divBdr>
        <w:top w:val="none" w:sz="0" w:space="0" w:color="auto"/>
        <w:left w:val="none" w:sz="0" w:space="0" w:color="auto"/>
        <w:bottom w:val="none" w:sz="0" w:space="0" w:color="auto"/>
        <w:right w:val="none" w:sz="0" w:space="0" w:color="auto"/>
      </w:divBdr>
    </w:div>
    <w:div w:id="1183939326">
      <w:bodyDiv w:val="1"/>
      <w:marLeft w:val="0"/>
      <w:marRight w:val="0"/>
      <w:marTop w:val="0"/>
      <w:marBottom w:val="0"/>
      <w:divBdr>
        <w:top w:val="none" w:sz="0" w:space="0" w:color="auto"/>
        <w:left w:val="none" w:sz="0" w:space="0" w:color="auto"/>
        <w:bottom w:val="none" w:sz="0" w:space="0" w:color="auto"/>
        <w:right w:val="none" w:sz="0" w:space="0" w:color="auto"/>
      </w:divBdr>
    </w:div>
    <w:div w:id="1469123482">
      <w:bodyDiv w:val="1"/>
      <w:marLeft w:val="0"/>
      <w:marRight w:val="0"/>
      <w:marTop w:val="0"/>
      <w:marBottom w:val="0"/>
      <w:divBdr>
        <w:top w:val="none" w:sz="0" w:space="0" w:color="auto"/>
        <w:left w:val="none" w:sz="0" w:space="0" w:color="auto"/>
        <w:bottom w:val="none" w:sz="0" w:space="0" w:color="auto"/>
        <w:right w:val="none" w:sz="0" w:space="0" w:color="auto"/>
      </w:divBdr>
    </w:div>
    <w:div w:id="1615863586">
      <w:bodyDiv w:val="1"/>
      <w:marLeft w:val="0"/>
      <w:marRight w:val="0"/>
      <w:marTop w:val="0"/>
      <w:marBottom w:val="0"/>
      <w:divBdr>
        <w:top w:val="none" w:sz="0" w:space="0" w:color="auto"/>
        <w:left w:val="none" w:sz="0" w:space="0" w:color="auto"/>
        <w:bottom w:val="none" w:sz="0" w:space="0" w:color="auto"/>
        <w:right w:val="none" w:sz="0" w:space="0" w:color="auto"/>
      </w:divBdr>
    </w:div>
    <w:div w:id="2005474121">
      <w:bodyDiv w:val="1"/>
      <w:marLeft w:val="0"/>
      <w:marRight w:val="0"/>
      <w:marTop w:val="0"/>
      <w:marBottom w:val="0"/>
      <w:divBdr>
        <w:top w:val="none" w:sz="0" w:space="0" w:color="auto"/>
        <w:left w:val="none" w:sz="0" w:space="0" w:color="auto"/>
        <w:bottom w:val="none" w:sz="0" w:space="0" w:color="auto"/>
        <w:right w:val="none" w:sz="0" w:space="0" w:color="auto"/>
      </w:divBdr>
    </w:div>
    <w:div w:id="20111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2272DE2E2854EA3915C8F12253078" ma:contentTypeVersion="11" ma:contentTypeDescription="Create a new document." ma:contentTypeScope="" ma:versionID="670bf506240cfb887ec0ce943b20535f">
  <xsd:schema xmlns:xsd="http://www.w3.org/2001/XMLSchema" xmlns:xs="http://www.w3.org/2001/XMLSchema" xmlns:p="http://schemas.microsoft.com/office/2006/metadata/properties" xmlns:ns2="c5012cae-fc34-4881-bc59-1d68c5f56d13" xmlns:ns3="539ecda7-1a13-4a34-acaa-ad4e117f77fe" targetNamespace="http://schemas.microsoft.com/office/2006/metadata/properties" ma:root="true" ma:fieldsID="6cd9ea4792dea28f557ac3e88abf6485" ns2:_="" ns3:_="">
    <xsd:import namespace="c5012cae-fc34-4881-bc59-1d68c5f56d13"/>
    <xsd:import namespace="539ecda7-1a13-4a34-acaa-ad4e117f77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12cae-fc34-4881-bc59-1d68c5f56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77da9e-30bd-4a98-aec7-663e565744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ecda7-1a13-4a34-acaa-ad4e117f77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b6f800-f6c8-4fa0-bf9f-753280e760ab}" ma:internalName="TaxCatchAll" ma:showField="CatchAllData" ma:web="539ecda7-1a13-4a34-acaa-ad4e117f7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9ecda7-1a13-4a34-acaa-ad4e117f77fe" xsi:nil="true"/>
    <lcf76f155ced4ddcb4097134ff3c332f xmlns="c5012cae-fc34-4881-bc59-1d68c5f56d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66058D-FE59-4CCD-B3BC-019DFDFEA5CF}"/>
</file>

<file path=customXml/itemProps2.xml><?xml version="1.0" encoding="utf-8"?>
<ds:datastoreItem xmlns:ds="http://schemas.openxmlformats.org/officeDocument/2006/customXml" ds:itemID="{0B19522F-9F80-4DAA-AC35-9F1441B15EC4}"/>
</file>

<file path=customXml/itemProps3.xml><?xml version="1.0" encoding="utf-8"?>
<ds:datastoreItem xmlns:ds="http://schemas.openxmlformats.org/officeDocument/2006/customXml" ds:itemID="{8BFC8775-9682-4A14-8903-9946F40FA497}"/>
</file>

<file path=docProps/app.xml><?xml version="1.0" encoding="utf-8"?>
<Properties xmlns="http://schemas.openxmlformats.org/officeDocument/2006/extended-properties" xmlns:vt="http://schemas.openxmlformats.org/officeDocument/2006/docPropsVTypes">
  <Template>Normal</Template>
  <TotalTime>0</TotalTime>
  <Pages>8</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Scott</dc:creator>
  <cp:keywords/>
  <dc:description/>
  <cp:lastModifiedBy>Nicole Salmon</cp:lastModifiedBy>
  <cp:revision>2</cp:revision>
  <cp:lastPrinted>2023-12-19T13:17:00Z</cp:lastPrinted>
  <dcterms:created xsi:type="dcterms:W3CDTF">2024-01-26T11:42:00Z</dcterms:created>
  <dcterms:modified xsi:type="dcterms:W3CDTF">2024-01-26T11:42:00Z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0x010100E1A2272DE2E2854EA3915C8F12253078</vt:lpwstr>
  </property>
  <property fmtid="{D5CDD505-2E9C-101B-9397-08002B2CF9AE}" pid="3" name="Order">
    <vt:r8>1525000</vt:r8>
  </property>
</Properties>
</file>