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7B9" w:rsidRPr="00FC1B26" w:rsidRDefault="006427B9" w:rsidP="00FC1B26">
      <w:pPr>
        <w:spacing w:after="0" w:line="240" w:lineRule="auto"/>
        <w:jc w:val="center"/>
        <w:rPr>
          <w:rFonts w:ascii="Arial" w:hAnsi="Arial" w:cs="Arial"/>
          <w:b/>
        </w:rPr>
      </w:pPr>
      <w:r w:rsidRPr="00FC1B26">
        <w:rPr>
          <w:rFonts w:ascii="Arial" w:hAnsi="Arial" w:cs="Arial"/>
          <w:noProof/>
          <w:lang w:eastAsia="en-GB"/>
        </w:rPr>
        <w:drawing>
          <wp:inline distT="0" distB="0" distL="0" distR="0" wp14:anchorId="462001F5" wp14:editId="54F7FE7A">
            <wp:extent cx="2581275" cy="2143125"/>
            <wp:effectExtent l="0" t="0" r="9525" b="9525"/>
            <wp:docPr id="3" name="Picture 3" descr="G:\7. LOGOS AND PHOTOGRAPHS\Logos\Govan Hoousing Association\Govan HA-final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7. LOGOS AND PHOTOGRAPHS\Logos\Govan Hoousing Association\Govan HA-final (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1275" cy="2143125"/>
                    </a:xfrm>
                    <a:prstGeom prst="rect">
                      <a:avLst/>
                    </a:prstGeom>
                    <a:noFill/>
                    <a:ln>
                      <a:noFill/>
                    </a:ln>
                  </pic:spPr>
                </pic:pic>
              </a:graphicData>
            </a:graphic>
          </wp:inline>
        </w:drawing>
      </w:r>
    </w:p>
    <w:p w:rsidR="006427B9" w:rsidRPr="007220DE" w:rsidRDefault="003549A9" w:rsidP="00FC1B26">
      <w:pPr>
        <w:spacing w:after="0" w:line="240" w:lineRule="auto"/>
        <w:jc w:val="center"/>
        <w:rPr>
          <w:rFonts w:ascii="Arial" w:hAnsi="Arial" w:cs="Arial"/>
          <w:b/>
          <w:sz w:val="28"/>
        </w:rPr>
      </w:pPr>
      <w:r>
        <w:rPr>
          <w:rFonts w:ascii="Arial" w:hAnsi="Arial" w:cs="Arial"/>
          <w:b/>
          <w:sz w:val="28"/>
        </w:rPr>
        <w:t>Decant</w:t>
      </w:r>
      <w:r w:rsidR="007E2A88">
        <w:rPr>
          <w:rFonts w:ascii="Arial" w:hAnsi="Arial" w:cs="Arial"/>
          <w:b/>
          <w:sz w:val="28"/>
        </w:rPr>
        <w:t xml:space="preserve"> </w:t>
      </w:r>
      <w:r>
        <w:rPr>
          <w:rFonts w:ascii="Arial" w:hAnsi="Arial" w:cs="Arial"/>
          <w:b/>
          <w:sz w:val="28"/>
        </w:rPr>
        <w:t>Policy</w:t>
      </w:r>
    </w:p>
    <w:p w:rsidR="006427B9" w:rsidRPr="00FC1B26" w:rsidRDefault="006427B9" w:rsidP="007220DE">
      <w:pPr>
        <w:spacing w:after="0" w:line="240" w:lineRule="auto"/>
        <w:rPr>
          <w:rFonts w:ascii="Arial" w:hAnsi="Arial" w:cs="Arial"/>
          <w:b/>
          <w:color w:val="FF0000"/>
          <w:sz w:val="28"/>
        </w:rPr>
      </w:pPr>
    </w:p>
    <w:p w:rsidR="003B1FE4" w:rsidRPr="00FC1B26" w:rsidRDefault="003B1FE4" w:rsidP="00FC1B26">
      <w:pPr>
        <w:spacing w:after="0" w:line="240" w:lineRule="auto"/>
        <w:jc w:val="center"/>
        <w:rPr>
          <w:rFonts w:ascii="Arial" w:hAnsi="Arial" w:cs="Arial"/>
        </w:rPr>
      </w:pPr>
    </w:p>
    <w:p w:rsidR="006427B9" w:rsidRPr="00FC1B26" w:rsidRDefault="006427B9" w:rsidP="00FC1B26">
      <w:pPr>
        <w:spacing w:after="0" w:line="240" w:lineRule="auto"/>
        <w:jc w:val="center"/>
        <w:rPr>
          <w:rFonts w:ascii="Arial" w:hAnsi="Arial" w:cs="Arial"/>
        </w:rPr>
      </w:pPr>
    </w:p>
    <w:p w:rsidR="006427B9" w:rsidRDefault="006427B9" w:rsidP="00FC1B26">
      <w:pPr>
        <w:spacing w:after="0" w:line="240" w:lineRule="auto"/>
        <w:jc w:val="center"/>
        <w:rPr>
          <w:rFonts w:ascii="Arial" w:hAnsi="Arial" w:cs="Arial"/>
        </w:rPr>
      </w:pPr>
    </w:p>
    <w:p w:rsidR="00410637" w:rsidRDefault="00410637" w:rsidP="00FC1B26">
      <w:pPr>
        <w:spacing w:after="0" w:line="240" w:lineRule="auto"/>
        <w:jc w:val="center"/>
        <w:rPr>
          <w:rFonts w:ascii="Arial" w:hAnsi="Arial" w:cs="Arial"/>
        </w:rPr>
      </w:pPr>
    </w:p>
    <w:p w:rsidR="00410637" w:rsidRDefault="00410637" w:rsidP="00FC1B26">
      <w:pPr>
        <w:spacing w:after="0" w:line="240" w:lineRule="auto"/>
        <w:jc w:val="center"/>
        <w:rPr>
          <w:rFonts w:ascii="Arial" w:hAnsi="Arial" w:cs="Arial"/>
        </w:rPr>
      </w:pPr>
    </w:p>
    <w:p w:rsidR="00410637" w:rsidRDefault="00410637" w:rsidP="002A0306">
      <w:pPr>
        <w:spacing w:after="0" w:line="240" w:lineRule="auto"/>
        <w:rPr>
          <w:rFonts w:ascii="Arial" w:hAnsi="Arial" w:cs="Arial"/>
        </w:rPr>
      </w:pPr>
    </w:p>
    <w:p w:rsidR="00410637" w:rsidRDefault="00410637" w:rsidP="00FC1B26">
      <w:pPr>
        <w:spacing w:after="0" w:line="240" w:lineRule="auto"/>
        <w:jc w:val="center"/>
        <w:rPr>
          <w:rFonts w:ascii="Arial" w:hAnsi="Arial" w:cs="Arial"/>
        </w:rPr>
      </w:pPr>
    </w:p>
    <w:p w:rsidR="00410637" w:rsidRDefault="00410637" w:rsidP="00FC1B26">
      <w:pPr>
        <w:spacing w:after="0" w:line="240" w:lineRule="auto"/>
        <w:jc w:val="center"/>
        <w:rPr>
          <w:rFonts w:ascii="Arial" w:hAnsi="Arial" w:cs="Arial"/>
        </w:rPr>
      </w:pPr>
    </w:p>
    <w:p w:rsidR="00410637" w:rsidRDefault="00410637" w:rsidP="00FC1B26">
      <w:pPr>
        <w:spacing w:after="0" w:line="240" w:lineRule="auto"/>
        <w:jc w:val="center"/>
        <w:rPr>
          <w:rFonts w:ascii="Arial" w:hAnsi="Arial" w:cs="Arial"/>
        </w:rPr>
      </w:pPr>
    </w:p>
    <w:p w:rsidR="00410637" w:rsidRDefault="00410637" w:rsidP="00FC1B26">
      <w:pPr>
        <w:spacing w:after="0" w:line="240" w:lineRule="auto"/>
        <w:jc w:val="center"/>
        <w:rPr>
          <w:rFonts w:ascii="Arial" w:hAnsi="Arial" w:cs="Arial"/>
        </w:rPr>
      </w:pPr>
    </w:p>
    <w:tbl>
      <w:tblPr>
        <w:tblStyle w:val="TableGrid"/>
        <w:tblW w:w="0" w:type="auto"/>
        <w:tblLook w:val="04A0" w:firstRow="1" w:lastRow="0" w:firstColumn="1" w:lastColumn="0" w:noHBand="0" w:noVBand="1"/>
      </w:tblPr>
      <w:tblGrid>
        <w:gridCol w:w="5077"/>
        <w:gridCol w:w="3939"/>
      </w:tblGrid>
      <w:tr w:rsidR="006427B9" w:rsidRPr="00410637" w:rsidTr="00AB6094">
        <w:tc>
          <w:tcPr>
            <w:tcW w:w="5211" w:type="dxa"/>
          </w:tcPr>
          <w:p w:rsidR="006427B9" w:rsidRPr="00D5453E" w:rsidRDefault="006427B9">
            <w:pPr>
              <w:rPr>
                <w:rFonts w:ascii="Arial" w:hAnsi="Arial" w:cs="Arial"/>
                <w:b/>
                <w:sz w:val="24"/>
                <w:szCs w:val="24"/>
              </w:rPr>
            </w:pPr>
            <w:r w:rsidRPr="00D5453E">
              <w:rPr>
                <w:rFonts w:ascii="Arial" w:hAnsi="Arial" w:cs="Arial"/>
                <w:b/>
                <w:sz w:val="24"/>
                <w:szCs w:val="24"/>
              </w:rPr>
              <w:t>Policy Manual Section:</w:t>
            </w:r>
          </w:p>
        </w:tc>
        <w:tc>
          <w:tcPr>
            <w:tcW w:w="4031" w:type="dxa"/>
          </w:tcPr>
          <w:p w:rsidR="006427B9" w:rsidRPr="00D5453E" w:rsidRDefault="007220DE">
            <w:pPr>
              <w:rPr>
                <w:rFonts w:ascii="Arial" w:hAnsi="Arial" w:cs="Arial"/>
                <w:sz w:val="24"/>
                <w:szCs w:val="24"/>
              </w:rPr>
            </w:pPr>
            <w:r>
              <w:rPr>
                <w:rFonts w:ascii="Arial" w:hAnsi="Arial" w:cs="Arial"/>
                <w:sz w:val="24"/>
                <w:szCs w:val="24"/>
              </w:rPr>
              <w:t>Customer Service</w:t>
            </w:r>
          </w:p>
        </w:tc>
      </w:tr>
      <w:tr w:rsidR="006427B9" w:rsidRPr="00410637" w:rsidTr="00AB6094">
        <w:tc>
          <w:tcPr>
            <w:tcW w:w="5211" w:type="dxa"/>
          </w:tcPr>
          <w:p w:rsidR="006427B9" w:rsidRPr="00D5453E" w:rsidRDefault="006427B9">
            <w:pPr>
              <w:rPr>
                <w:rFonts w:ascii="Arial" w:hAnsi="Arial" w:cs="Arial"/>
                <w:b/>
                <w:sz w:val="24"/>
                <w:szCs w:val="24"/>
              </w:rPr>
            </w:pPr>
            <w:r w:rsidRPr="00D5453E">
              <w:rPr>
                <w:rFonts w:ascii="Arial" w:hAnsi="Arial" w:cs="Arial"/>
                <w:b/>
                <w:sz w:val="24"/>
                <w:szCs w:val="24"/>
              </w:rPr>
              <w:t>Policy Number:</w:t>
            </w:r>
          </w:p>
        </w:tc>
        <w:tc>
          <w:tcPr>
            <w:tcW w:w="4031" w:type="dxa"/>
          </w:tcPr>
          <w:p w:rsidR="006427B9" w:rsidRPr="00D5453E" w:rsidRDefault="003549A9" w:rsidP="0053152D">
            <w:pPr>
              <w:rPr>
                <w:rFonts w:ascii="Arial" w:hAnsi="Arial" w:cs="Arial"/>
                <w:sz w:val="24"/>
                <w:szCs w:val="24"/>
              </w:rPr>
            </w:pPr>
            <w:r>
              <w:rPr>
                <w:rFonts w:ascii="Arial" w:hAnsi="Arial" w:cs="Arial"/>
                <w:sz w:val="24"/>
                <w:szCs w:val="24"/>
              </w:rPr>
              <w:t>OPERHM04</w:t>
            </w:r>
          </w:p>
        </w:tc>
      </w:tr>
      <w:tr w:rsidR="006427B9" w:rsidRPr="00410637" w:rsidTr="00AB6094">
        <w:tc>
          <w:tcPr>
            <w:tcW w:w="5211" w:type="dxa"/>
          </w:tcPr>
          <w:p w:rsidR="006427B9" w:rsidRPr="00D5453E" w:rsidRDefault="006427B9">
            <w:pPr>
              <w:rPr>
                <w:rFonts w:ascii="Arial" w:hAnsi="Arial" w:cs="Arial"/>
                <w:b/>
                <w:sz w:val="24"/>
                <w:szCs w:val="24"/>
              </w:rPr>
            </w:pPr>
            <w:r w:rsidRPr="00D5453E">
              <w:rPr>
                <w:rFonts w:ascii="Arial" w:hAnsi="Arial" w:cs="Arial"/>
                <w:b/>
                <w:sz w:val="24"/>
                <w:szCs w:val="24"/>
              </w:rPr>
              <w:t>Scottish Social Housing Charter Reference:</w:t>
            </w:r>
          </w:p>
        </w:tc>
        <w:tc>
          <w:tcPr>
            <w:tcW w:w="4031" w:type="dxa"/>
          </w:tcPr>
          <w:p w:rsidR="006427B9" w:rsidRPr="00D5453E" w:rsidRDefault="006427B9">
            <w:pPr>
              <w:rPr>
                <w:rFonts w:ascii="Arial" w:hAnsi="Arial" w:cs="Arial"/>
                <w:sz w:val="24"/>
                <w:szCs w:val="24"/>
              </w:rPr>
            </w:pPr>
            <w:r w:rsidRPr="00D5453E">
              <w:rPr>
                <w:rFonts w:ascii="Arial" w:hAnsi="Arial" w:cs="Arial"/>
                <w:sz w:val="24"/>
                <w:szCs w:val="24"/>
              </w:rPr>
              <w:t xml:space="preserve">1. Equalities </w:t>
            </w:r>
          </w:p>
          <w:p w:rsidR="003549A9" w:rsidRPr="00D5453E" w:rsidRDefault="003549A9" w:rsidP="003549A9">
            <w:pPr>
              <w:rPr>
                <w:rFonts w:ascii="Arial" w:hAnsi="Arial" w:cs="Arial"/>
                <w:sz w:val="24"/>
                <w:szCs w:val="24"/>
              </w:rPr>
            </w:pPr>
            <w:r>
              <w:rPr>
                <w:rFonts w:ascii="Arial" w:hAnsi="Arial" w:cs="Arial"/>
                <w:sz w:val="24"/>
                <w:szCs w:val="24"/>
              </w:rPr>
              <w:t xml:space="preserve">4. Quality of Housing </w:t>
            </w:r>
          </w:p>
          <w:p w:rsidR="007220DE" w:rsidRDefault="003549A9">
            <w:pPr>
              <w:rPr>
                <w:rFonts w:ascii="Arial" w:hAnsi="Arial" w:cs="Arial"/>
                <w:sz w:val="24"/>
                <w:szCs w:val="24"/>
              </w:rPr>
            </w:pPr>
            <w:r>
              <w:rPr>
                <w:rFonts w:ascii="Arial" w:hAnsi="Arial" w:cs="Arial"/>
                <w:sz w:val="24"/>
                <w:szCs w:val="24"/>
              </w:rPr>
              <w:t>5. Repairs and Maintenance</w:t>
            </w:r>
          </w:p>
          <w:p w:rsidR="003549A9" w:rsidRPr="00D5453E" w:rsidRDefault="003549A9">
            <w:pPr>
              <w:rPr>
                <w:rFonts w:ascii="Arial" w:hAnsi="Arial" w:cs="Arial"/>
                <w:sz w:val="24"/>
                <w:szCs w:val="24"/>
              </w:rPr>
            </w:pPr>
            <w:r>
              <w:rPr>
                <w:rFonts w:ascii="Arial" w:hAnsi="Arial" w:cs="Arial"/>
                <w:sz w:val="24"/>
                <w:szCs w:val="24"/>
              </w:rPr>
              <w:t>13.Value for Money</w:t>
            </w:r>
          </w:p>
        </w:tc>
      </w:tr>
      <w:tr w:rsidR="006427B9" w:rsidRPr="00410637" w:rsidTr="00AB6094">
        <w:tc>
          <w:tcPr>
            <w:tcW w:w="5211" w:type="dxa"/>
          </w:tcPr>
          <w:p w:rsidR="006427B9" w:rsidRPr="00D5453E" w:rsidRDefault="006427B9">
            <w:pPr>
              <w:rPr>
                <w:rFonts w:ascii="Arial" w:hAnsi="Arial" w:cs="Arial"/>
                <w:b/>
                <w:sz w:val="24"/>
                <w:szCs w:val="24"/>
              </w:rPr>
            </w:pPr>
            <w:r w:rsidRPr="00D5453E">
              <w:rPr>
                <w:rFonts w:ascii="Arial" w:hAnsi="Arial" w:cs="Arial"/>
                <w:b/>
                <w:sz w:val="24"/>
                <w:szCs w:val="24"/>
              </w:rPr>
              <w:t>Date</w:t>
            </w:r>
            <w:r w:rsidR="005077AC">
              <w:rPr>
                <w:rFonts w:ascii="Arial" w:hAnsi="Arial" w:cs="Arial"/>
                <w:b/>
                <w:sz w:val="24"/>
                <w:szCs w:val="24"/>
              </w:rPr>
              <w:t xml:space="preserve"> to be</w:t>
            </w:r>
            <w:r w:rsidRPr="00D5453E">
              <w:rPr>
                <w:rFonts w:ascii="Arial" w:hAnsi="Arial" w:cs="Arial"/>
                <w:b/>
                <w:sz w:val="24"/>
                <w:szCs w:val="24"/>
              </w:rPr>
              <w:t xml:space="preserve"> Approved by Management Committee:</w:t>
            </w:r>
          </w:p>
        </w:tc>
        <w:tc>
          <w:tcPr>
            <w:tcW w:w="4031" w:type="dxa"/>
          </w:tcPr>
          <w:p w:rsidR="006427B9" w:rsidRPr="00D5453E" w:rsidRDefault="003549A9">
            <w:pPr>
              <w:rPr>
                <w:rFonts w:ascii="Arial" w:hAnsi="Arial" w:cs="Arial"/>
                <w:sz w:val="24"/>
                <w:szCs w:val="24"/>
              </w:rPr>
            </w:pPr>
            <w:r>
              <w:rPr>
                <w:rFonts w:ascii="Arial" w:hAnsi="Arial" w:cs="Arial"/>
                <w:sz w:val="24"/>
                <w:szCs w:val="24"/>
              </w:rPr>
              <w:t>March 2023</w:t>
            </w:r>
          </w:p>
        </w:tc>
      </w:tr>
      <w:tr w:rsidR="006427B9" w:rsidRPr="00410637" w:rsidTr="00AB6094">
        <w:tc>
          <w:tcPr>
            <w:tcW w:w="5211" w:type="dxa"/>
          </w:tcPr>
          <w:p w:rsidR="006427B9" w:rsidRPr="00D5453E" w:rsidRDefault="006427B9">
            <w:pPr>
              <w:rPr>
                <w:rFonts w:ascii="Arial" w:hAnsi="Arial" w:cs="Arial"/>
                <w:b/>
                <w:sz w:val="24"/>
                <w:szCs w:val="24"/>
              </w:rPr>
            </w:pPr>
            <w:r w:rsidRPr="00D5453E">
              <w:rPr>
                <w:rFonts w:ascii="Arial" w:hAnsi="Arial" w:cs="Arial"/>
                <w:b/>
                <w:sz w:val="24"/>
                <w:szCs w:val="24"/>
              </w:rPr>
              <w:t>Next Review Date:</w:t>
            </w:r>
          </w:p>
        </w:tc>
        <w:tc>
          <w:tcPr>
            <w:tcW w:w="4031" w:type="dxa"/>
          </w:tcPr>
          <w:p w:rsidR="006427B9" w:rsidRPr="00D5453E" w:rsidRDefault="003549A9">
            <w:pPr>
              <w:rPr>
                <w:rFonts w:ascii="Arial" w:hAnsi="Arial" w:cs="Arial"/>
                <w:sz w:val="24"/>
                <w:szCs w:val="24"/>
              </w:rPr>
            </w:pPr>
            <w:r>
              <w:rPr>
                <w:rFonts w:ascii="Arial" w:hAnsi="Arial" w:cs="Arial"/>
                <w:sz w:val="24"/>
                <w:szCs w:val="24"/>
              </w:rPr>
              <w:t>March 2026</w:t>
            </w:r>
          </w:p>
        </w:tc>
      </w:tr>
    </w:tbl>
    <w:p w:rsidR="006427B9" w:rsidRPr="00FC1B26" w:rsidRDefault="006427B9" w:rsidP="00FC1B26">
      <w:pPr>
        <w:spacing w:after="0" w:line="240" w:lineRule="auto"/>
        <w:rPr>
          <w:rFonts w:ascii="Arial" w:hAnsi="Arial" w:cs="Arial"/>
        </w:rPr>
      </w:pPr>
    </w:p>
    <w:tbl>
      <w:tblPr>
        <w:tblStyle w:val="TableGrid"/>
        <w:tblW w:w="0" w:type="auto"/>
        <w:shd w:val="clear" w:color="auto" w:fill="BFBFBF" w:themeFill="background1" w:themeFillShade="BF"/>
        <w:tblLook w:val="04A0" w:firstRow="1" w:lastRow="0" w:firstColumn="1" w:lastColumn="0" w:noHBand="0" w:noVBand="1"/>
      </w:tblPr>
      <w:tblGrid>
        <w:gridCol w:w="9016"/>
      </w:tblGrid>
      <w:tr w:rsidR="006427B9" w:rsidRPr="00410637" w:rsidTr="00AB6094">
        <w:tc>
          <w:tcPr>
            <w:tcW w:w="9242" w:type="dxa"/>
            <w:shd w:val="clear" w:color="auto" w:fill="548DD4" w:themeFill="text2" w:themeFillTint="99"/>
          </w:tcPr>
          <w:p w:rsidR="006427B9" w:rsidRPr="00D5453E" w:rsidRDefault="006427B9">
            <w:pPr>
              <w:rPr>
                <w:rFonts w:ascii="Arial" w:hAnsi="Arial" w:cs="Arial"/>
                <w:color w:val="FFFFFF" w:themeColor="background1"/>
                <w:sz w:val="24"/>
                <w:szCs w:val="24"/>
              </w:rPr>
            </w:pPr>
          </w:p>
          <w:p w:rsidR="006427B9" w:rsidRPr="00D5453E" w:rsidRDefault="006427B9">
            <w:pPr>
              <w:rPr>
                <w:rFonts w:ascii="Arial" w:hAnsi="Arial" w:cs="Arial"/>
                <w:b/>
                <w:color w:val="FFFFFF" w:themeColor="background1"/>
                <w:sz w:val="24"/>
                <w:szCs w:val="24"/>
              </w:rPr>
            </w:pPr>
            <w:r w:rsidRPr="00D5453E">
              <w:rPr>
                <w:rFonts w:ascii="Arial" w:hAnsi="Arial" w:cs="Arial"/>
                <w:b/>
                <w:color w:val="FFFFFF" w:themeColor="background1"/>
                <w:sz w:val="24"/>
                <w:szCs w:val="24"/>
              </w:rPr>
              <w:t xml:space="preserve">Govan Housing Association can provide this document on request, in different languages and formats, including Braille and audio formats. </w:t>
            </w:r>
          </w:p>
          <w:p w:rsidR="006427B9" w:rsidRPr="00FC1B26" w:rsidRDefault="006427B9">
            <w:pPr>
              <w:rPr>
                <w:rFonts w:ascii="Arial" w:hAnsi="Arial" w:cs="Arial"/>
              </w:rPr>
            </w:pPr>
          </w:p>
        </w:tc>
      </w:tr>
    </w:tbl>
    <w:p w:rsidR="006427B9" w:rsidRDefault="006427B9" w:rsidP="00FC1B26">
      <w:pPr>
        <w:spacing w:after="0" w:line="240" w:lineRule="auto"/>
        <w:jc w:val="center"/>
        <w:rPr>
          <w:rFonts w:ascii="Arial" w:hAnsi="Arial" w:cs="Arial"/>
        </w:rPr>
      </w:pPr>
    </w:p>
    <w:p w:rsidR="00801FD0" w:rsidRDefault="00801FD0" w:rsidP="00FC1B26">
      <w:pPr>
        <w:spacing w:after="0" w:line="240" w:lineRule="auto"/>
        <w:jc w:val="center"/>
        <w:rPr>
          <w:rFonts w:ascii="Arial" w:hAnsi="Arial" w:cs="Arial"/>
        </w:rPr>
      </w:pPr>
    </w:p>
    <w:p w:rsidR="00801FD0" w:rsidRDefault="00801FD0" w:rsidP="00FC1B26">
      <w:pPr>
        <w:spacing w:after="0" w:line="240" w:lineRule="auto"/>
        <w:jc w:val="center"/>
        <w:rPr>
          <w:rFonts w:ascii="Arial" w:hAnsi="Arial" w:cs="Arial"/>
        </w:rPr>
      </w:pPr>
    </w:p>
    <w:p w:rsidR="00801FD0" w:rsidRDefault="00801FD0" w:rsidP="00FC1B26">
      <w:pPr>
        <w:spacing w:after="0" w:line="240" w:lineRule="auto"/>
        <w:jc w:val="center"/>
        <w:rPr>
          <w:rFonts w:ascii="Arial" w:hAnsi="Arial" w:cs="Arial"/>
        </w:rPr>
      </w:pPr>
    </w:p>
    <w:p w:rsidR="00801FD0" w:rsidRDefault="00801FD0" w:rsidP="00FC1B26">
      <w:pPr>
        <w:spacing w:after="0" w:line="240" w:lineRule="auto"/>
        <w:jc w:val="center"/>
        <w:rPr>
          <w:rFonts w:ascii="Arial" w:hAnsi="Arial" w:cs="Arial"/>
        </w:rPr>
      </w:pPr>
    </w:p>
    <w:p w:rsidR="00801FD0" w:rsidRPr="00FC1B26" w:rsidRDefault="00801FD0" w:rsidP="00FC1B26">
      <w:pPr>
        <w:spacing w:after="0" w:line="240" w:lineRule="auto"/>
        <w:jc w:val="center"/>
        <w:rPr>
          <w:rFonts w:ascii="Arial" w:hAnsi="Arial" w:cs="Arial"/>
        </w:rPr>
      </w:pPr>
    </w:p>
    <w:p w:rsidR="00FE3D4B" w:rsidRPr="00FC1B26" w:rsidRDefault="006427B9" w:rsidP="00FE3D4B">
      <w:pPr>
        <w:spacing w:after="0" w:line="240" w:lineRule="auto"/>
        <w:jc w:val="center"/>
        <w:rPr>
          <w:rFonts w:ascii="Arial" w:hAnsi="Arial" w:cs="Arial"/>
        </w:rPr>
      </w:pPr>
      <w:r w:rsidRPr="00FC1B26">
        <w:rPr>
          <w:rFonts w:ascii="Arial" w:hAnsi="Arial" w:cs="Arial"/>
          <w:noProof/>
          <w:lang w:eastAsia="en-GB"/>
        </w:rPr>
        <w:drawing>
          <wp:inline distT="0" distB="0" distL="0" distR="0" wp14:anchorId="4B752723" wp14:editId="686B37B7">
            <wp:extent cx="1485900" cy="800100"/>
            <wp:effectExtent l="0" t="0" r="0" b="0"/>
            <wp:docPr id="1" name="Picture 1" descr="Description: HTT Logo 2Colour 300dpi Mar07"/>
            <wp:cNvGraphicFramePr/>
            <a:graphic xmlns:a="http://schemas.openxmlformats.org/drawingml/2006/main">
              <a:graphicData uri="http://schemas.openxmlformats.org/drawingml/2006/picture">
                <pic:pic xmlns:pic="http://schemas.openxmlformats.org/drawingml/2006/picture">
                  <pic:nvPicPr>
                    <pic:cNvPr id="9" name="Picture 9" descr="Description: HTT Logo 2Colour 300dpi Mar07"/>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800100"/>
                    </a:xfrm>
                    <a:prstGeom prst="rect">
                      <a:avLst/>
                    </a:prstGeom>
                    <a:noFill/>
                    <a:ln>
                      <a:noFill/>
                    </a:ln>
                  </pic:spPr>
                </pic:pic>
              </a:graphicData>
            </a:graphic>
          </wp:inline>
        </w:drawing>
      </w:r>
    </w:p>
    <w:sdt>
      <w:sdtPr>
        <w:rPr>
          <w:rFonts w:asciiTheme="minorHAnsi" w:eastAsiaTheme="minorHAnsi" w:hAnsiTheme="minorHAnsi" w:cstheme="minorBidi"/>
          <w:b w:val="0"/>
          <w:bCs w:val="0"/>
          <w:color w:val="auto"/>
          <w:sz w:val="22"/>
          <w:szCs w:val="22"/>
          <w:lang w:val="en-GB" w:eastAsia="en-US"/>
        </w:rPr>
        <w:id w:val="-1557163149"/>
        <w:docPartObj>
          <w:docPartGallery w:val="Table of Contents"/>
          <w:docPartUnique/>
        </w:docPartObj>
      </w:sdtPr>
      <w:sdtEndPr>
        <w:rPr>
          <w:noProof/>
        </w:rPr>
      </w:sdtEndPr>
      <w:sdtContent>
        <w:p w:rsidR="005D5897" w:rsidRDefault="005D5897">
          <w:pPr>
            <w:pStyle w:val="TOCHeading"/>
          </w:pPr>
          <w:r>
            <w:t>Contents</w:t>
          </w:r>
        </w:p>
        <w:p w:rsidR="00E22B90" w:rsidRDefault="005D5897">
          <w:pPr>
            <w:pStyle w:val="TOC1"/>
            <w:rPr>
              <w:rFonts w:eastAsiaTheme="minorEastAsia"/>
              <w:noProof/>
              <w:lang w:eastAsia="en-GB"/>
            </w:rPr>
          </w:pPr>
          <w:r>
            <w:fldChar w:fldCharType="begin"/>
          </w:r>
          <w:r>
            <w:instrText xml:space="preserve"> TOC \o "1-3" \h \z \u </w:instrText>
          </w:r>
          <w:r>
            <w:fldChar w:fldCharType="separate"/>
          </w:r>
          <w:hyperlink w:anchor="_Toc129768186" w:history="1">
            <w:r w:rsidR="00E22B90" w:rsidRPr="00D631E6">
              <w:rPr>
                <w:rStyle w:val="Hyperlink"/>
                <w:noProof/>
              </w:rPr>
              <w:t>1.</w:t>
            </w:r>
            <w:r w:rsidR="00E22B90">
              <w:rPr>
                <w:rFonts w:eastAsiaTheme="minorEastAsia"/>
                <w:noProof/>
                <w:lang w:eastAsia="en-GB"/>
              </w:rPr>
              <w:tab/>
            </w:r>
            <w:r w:rsidR="00E22B90" w:rsidRPr="00D631E6">
              <w:rPr>
                <w:rStyle w:val="Hyperlink"/>
                <w:noProof/>
              </w:rPr>
              <w:t>Introduction</w:t>
            </w:r>
            <w:r w:rsidR="00E22B90">
              <w:rPr>
                <w:noProof/>
                <w:webHidden/>
              </w:rPr>
              <w:tab/>
            </w:r>
            <w:r w:rsidR="00E22B90">
              <w:rPr>
                <w:noProof/>
                <w:webHidden/>
              </w:rPr>
              <w:fldChar w:fldCharType="begin"/>
            </w:r>
            <w:r w:rsidR="00E22B90">
              <w:rPr>
                <w:noProof/>
                <w:webHidden/>
              </w:rPr>
              <w:instrText xml:space="preserve"> PAGEREF _Toc129768186 \h </w:instrText>
            </w:r>
            <w:r w:rsidR="00E22B90">
              <w:rPr>
                <w:noProof/>
                <w:webHidden/>
              </w:rPr>
            </w:r>
            <w:r w:rsidR="00E22B90">
              <w:rPr>
                <w:noProof/>
                <w:webHidden/>
              </w:rPr>
              <w:fldChar w:fldCharType="separate"/>
            </w:r>
            <w:r w:rsidR="00E22B90">
              <w:rPr>
                <w:noProof/>
                <w:webHidden/>
              </w:rPr>
              <w:t>3</w:t>
            </w:r>
            <w:r w:rsidR="00E22B90">
              <w:rPr>
                <w:noProof/>
                <w:webHidden/>
              </w:rPr>
              <w:fldChar w:fldCharType="end"/>
            </w:r>
          </w:hyperlink>
        </w:p>
        <w:p w:rsidR="00E22B90" w:rsidRDefault="002B3342">
          <w:pPr>
            <w:pStyle w:val="TOC1"/>
            <w:rPr>
              <w:rFonts w:eastAsiaTheme="minorEastAsia"/>
              <w:noProof/>
              <w:lang w:eastAsia="en-GB"/>
            </w:rPr>
          </w:pPr>
          <w:hyperlink w:anchor="_Toc129768187" w:history="1">
            <w:r w:rsidR="00E22B90" w:rsidRPr="00D631E6">
              <w:rPr>
                <w:rStyle w:val="Hyperlink"/>
                <w:noProof/>
              </w:rPr>
              <w:t>2.</w:t>
            </w:r>
            <w:r w:rsidR="00E22B90">
              <w:rPr>
                <w:rFonts w:eastAsiaTheme="minorEastAsia"/>
                <w:noProof/>
                <w:lang w:eastAsia="en-GB"/>
              </w:rPr>
              <w:tab/>
            </w:r>
            <w:r w:rsidR="00E22B90" w:rsidRPr="00D631E6">
              <w:rPr>
                <w:rStyle w:val="Hyperlink"/>
                <w:noProof/>
              </w:rPr>
              <w:t>Policy Statement</w:t>
            </w:r>
            <w:r w:rsidR="00E22B90">
              <w:rPr>
                <w:noProof/>
                <w:webHidden/>
              </w:rPr>
              <w:tab/>
            </w:r>
            <w:r w:rsidR="00E22B90">
              <w:rPr>
                <w:noProof/>
                <w:webHidden/>
              </w:rPr>
              <w:fldChar w:fldCharType="begin"/>
            </w:r>
            <w:r w:rsidR="00E22B90">
              <w:rPr>
                <w:noProof/>
                <w:webHidden/>
              </w:rPr>
              <w:instrText xml:space="preserve"> PAGEREF _Toc129768187 \h </w:instrText>
            </w:r>
            <w:r w:rsidR="00E22B90">
              <w:rPr>
                <w:noProof/>
                <w:webHidden/>
              </w:rPr>
            </w:r>
            <w:r w:rsidR="00E22B90">
              <w:rPr>
                <w:noProof/>
                <w:webHidden/>
              </w:rPr>
              <w:fldChar w:fldCharType="separate"/>
            </w:r>
            <w:r w:rsidR="00E22B90">
              <w:rPr>
                <w:noProof/>
                <w:webHidden/>
              </w:rPr>
              <w:t>3</w:t>
            </w:r>
            <w:r w:rsidR="00E22B90">
              <w:rPr>
                <w:noProof/>
                <w:webHidden/>
              </w:rPr>
              <w:fldChar w:fldCharType="end"/>
            </w:r>
          </w:hyperlink>
        </w:p>
        <w:p w:rsidR="00E22B90" w:rsidRDefault="002B3342">
          <w:pPr>
            <w:pStyle w:val="TOC1"/>
            <w:rPr>
              <w:rFonts w:eastAsiaTheme="minorEastAsia"/>
              <w:noProof/>
              <w:lang w:eastAsia="en-GB"/>
            </w:rPr>
          </w:pPr>
          <w:hyperlink w:anchor="_Toc129768188" w:history="1">
            <w:r w:rsidR="00E22B90" w:rsidRPr="00D631E6">
              <w:rPr>
                <w:rStyle w:val="Hyperlink"/>
                <w:noProof/>
              </w:rPr>
              <w:t>3.</w:t>
            </w:r>
            <w:r w:rsidR="00E22B90">
              <w:rPr>
                <w:rFonts w:eastAsiaTheme="minorEastAsia"/>
                <w:noProof/>
                <w:lang w:eastAsia="en-GB"/>
              </w:rPr>
              <w:tab/>
            </w:r>
            <w:r w:rsidR="00E22B90" w:rsidRPr="00D631E6">
              <w:rPr>
                <w:rStyle w:val="Hyperlink"/>
                <w:noProof/>
              </w:rPr>
              <w:t>Definitions</w:t>
            </w:r>
            <w:r w:rsidR="00E22B90">
              <w:rPr>
                <w:noProof/>
                <w:webHidden/>
              </w:rPr>
              <w:tab/>
            </w:r>
            <w:r w:rsidR="00E22B90">
              <w:rPr>
                <w:noProof/>
                <w:webHidden/>
              </w:rPr>
              <w:fldChar w:fldCharType="begin"/>
            </w:r>
            <w:r w:rsidR="00E22B90">
              <w:rPr>
                <w:noProof/>
                <w:webHidden/>
              </w:rPr>
              <w:instrText xml:space="preserve"> PAGEREF _Toc129768188 \h </w:instrText>
            </w:r>
            <w:r w:rsidR="00E22B90">
              <w:rPr>
                <w:noProof/>
                <w:webHidden/>
              </w:rPr>
            </w:r>
            <w:r w:rsidR="00E22B90">
              <w:rPr>
                <w:noProof/>
                <w:webHidden/>
              </w:rPr>
              <w:fldChar w:fldCharType="separate"/>
            </w:r>
            <w:r w:rsidR="00E22B90">
              <w:rPr>
                <w:noProof/>
                <w:webHidden/>
              </w:rPr>
              <w:t>4</w:t>
            </w:r>
            <w:r w:rsidR="00E22B90">
              <w:rPr>
                <w:noProof/>
                <w:webHidden/>
              </w:rPr>
              <w:fldChar w:fldCharType="end"/>
            </w:r>
          </w:hyperlink>
        </w:p>
        <w:p w:rsidR="00E22B90" w:rsidRDefault="002B3342">
          <w:pPr>
            <w:pStyle w:val="TOC1"/>
            <w:rPr>
              <w:rFonts w:eastAsiaTheme="minorEastAsia"/>
              <w:noProof/>
              <w:lang w:eastAsia="en-GB"/>
            </w:rPr>
          </w:pPr>
          <w:hyperlink w:anchor="_Toc129768189" w:history="1">
            <w:r w:rsidR="00E22B90" w:rsidRPr="00D631E6">
              <w:rPr>
                <w:rStyle w:val="Hyperlink"/>
                <w:noProof/>
              </w:rPr>
              <w:t xml:space="preserve">4. </w:t>
            </w:r>
            <w:r w:rsidR="00E22B90">
              <w:rPr>
                <w:rFonts w:eastAsiaTheme="minorEastAsia"/>
                <w:noProof/>
                <w:lang w:eastAsia="en-GB"/>
              </w:rPr>
              <w:tab/>
            </w:r>
            <w:r w:rsidR="00E22B90" w:rsidRPr="00D631E6">
              <w:rPr>
                <w:rStyle w:val="Hyperlink"/>
                <w:noProof/>
              </w:rPr>
              <w:t>Aims &amp; Objectives</w:t>
            </w:r>
            <w:r w:rsidR="00E22B90">
              <w:rPr>
                <w:noProof/>
                <w:webHidden/>
              </w:rPr>
              <w:tab/>
            </w:r>
            <w:r w:rsidR="00E22B90">
              <w:rPr>
                <w:noProof/>
                <w:webHidden/>
              </w:rPr>
              <w:fldChar w:fldCharType="begin"/>
            </w:r>
            <w:r w:rsidR="00E22B90">
              <w:rPr>
                <w:noProof/>
                <w:webHidden/>
              </w:rPr>
              <w:instrText xml:space="preserve"> PAGEREF _Toc129768189 \h </w:instrText>
            </w:r>
            <w:r w:rsidR="00E22B90">
              <w:rPr>
                <w:noProof/>
                <w:webHidden/>
              </w:rPr>
            </w:r>
            <w:r w:rsidR="00E22B90">
              <w:rPr>
                <w:noProof/>
                <w:webHidden/>
              </w:rPr>
              <w:fldChar w:fldCharType="separate"/>
            </w:r>
            <w:r w:rsidR="00E22B90">
              <w:rPr>
                <w:noProof/>
                <w:webHidden/>
              </w:rPr>
              <w:t>4</w:t>
            </w:r>
            <w:r w:rsidR="00E22B90">
              <w:rPr>
                <w:noProof/>
                <w:webHidden/>
              </w:rPr>
              <w:fldChar w:fldCharType="end"/>
            </w:r>
          </w:hyperlink>
        </w:p>
        <w:p w:rsidR="00E22B90" w:rsidRDefault="002B3342">
          <w:pPr>
            <w:pStyle w:val="TOC1"/>
            <w:rPr>
              <w:rFonts w:eastAsiaTheme="minorEastAsia"/>
              <w:noProof/>
              <w:lang w:eastAsia="en-GB"/>
            </w:rPr>
          </w:pPr>
          <w:hyperlink w:anchor="_Toc129768204" w:history="1">
            <w:r w:rsidR="00E22B90" w:rsidRPr="00D631E6">
              <w:rPr>
                <w:rStyle w:val="Hyperlink"/>
                <w:noProof/>
              </w:rPr>
              <w:t>5.</w:t>
            </w:r>
            <w:r w:rsidR="00E22B90">
              <w:rPr>
                <w:rFonts w:eastAsiaTheme="minorEastAsia"/>
                <w:noProof/>
                <w:lang w:eastAsia="en-GB"/>
              </w:rPr>
              <w:tab/>
            </w:r>
            <w:r w:rsidR="00E22B90" w:rsidRPr="00D631E6">
              <w:rPr>
                <w:rStyle w:val="Hyperlink"/>
                <w:noProof/>
              </w:rPr>
              <w:t>Legal and Regulatory Compliance</w:t>
            </w:r>
            <w:r w:rsidR="00E22B90">
              <w:rPr>
                <w:noProof/>
                <w:webHidden/>
              </w:rPr>
              <w:tab/>
            </w:r>
            <w:r w:rsidR="00E22B90">
              <w:rPr>
                <w:noProof/>
                <w:webHidden/>
              </w:rPr>
              <w:fldChar w:fldCharType="begin"/>
            </w:r>
            <w:r w:rsidR="00E22B90">
              <w:rPr>
                <w:noProof/>
                <w:webHidden/>
              </w:rPr>
              <w:instrText xml:space="preserve"> PAGEREF _Toc129768204 \h </w:instrText>
            </w:r>
            <w:r w:rsidR="00E22B90">
              <w:rPr>
                <w:noProof/>
                <w:webHidden/>
              </w:rPr>
            </w:r>
            <w:r w:rsidR="00E22B90">
              <w:rPr>
                <w:noProof/>
                <w:webHidden/>
              </w:rPr>
              <w:fldChar w:fldCharType="separate"/>
            </w:r>
            <w:r w:rsidR="00E22B90">
              <w:rPr>
                <w:noProof/>
                <w:webHidden/>
              </w:rPr>
              <w:t>5</w:t>
            </w:r>
            <w:r w:rsidR="00E22B90">
              <w:rPr>
                <w:noProof/>
                <w:webHidden/>
              </w:rPr>
              <w:fldChar w:fldCharType="end"/>
            </w:r>
          </w:hyperlink>
        </w:p>
        <w:p w:rsidR="00E22B90" w:rsidRDefault="002B3342">
          <w:pPr>
            <w:pStyle w:val="TOC1"/>
            <w:rPr>
              <w:rFonts w:eastAsiaTheme="minorEastAsia"/>
              <w:noProof/>
              <w:lang w:eastAsia="en-GB"/>
            </w:rPr>
          </w:pPr>
          <w:hyperlink w:anchor="_Toc129768205" w:history="1">
            <w:r w:rsidR="00E22B90" w:rsidRPr="00D631E6">
              <w:rPr>
                <w:rStyle w:val="Hyperlink"/>
                <w:noProof/>
              </w:rPr>
              <w:t>6.</w:t>
            </w:r>
            <w:r w:rsidR="00E22B90">
              <w:rPr>
                <w:rFonts w:eastAsiaTheme="minorEastAsia"/>
                <w:noProof/>
                <w:lang w:eastAsia="en-GB"/>
              </w:rPr>
              <w:tab/>
            </w:r>
            <w:r w:rsidR="00E22B90" w:rsidRPr="00D631E6">
              <w:rPr>
                <w:rStyle w:val="Hyperlink"/>
                <w:noProof/>
              </w:rPr>
              <w:t>Decant Framework</w:t>
            </w:r>
            <w:r w:rsidR="00E22B90">
              <w:rPr>
                <w:noProof/>
                <w:webHidden/>
              </w:rPr>
              <w:tab/>
            </w:r>
            <w:r w:rsidR="00E22B90">
              <w:rPr>
                <w:noProof/>
                <w:webHidden/>
              </w:rPr>
              <w:fldChar w:fldCharType="begin"/>
            </w:r>
            <w:r w:rsidR="00E22B90">
              <w:rPr>
                <w:noProof/>
                <w:webHidden/>
              </w:rPr>
              <w:instrText xml:space="preserve"> PAGEREF _Toc129768205 \h </w:instrText>
            </w:r>
            <w:r w:rsidR="00E22B90">
              <w:rPr>
                <w:noProof/>
                <w:webHidden/>
              </w:rPr>
            </w:r>
            <w:r w:rsidR="00E22B90">
              <w:rPr>
                <w:noProof/>
                <w:webHidden/>
              </w:rPr>
              <w:fldChar w:fldCharType="separate"/>
            </w:r>
            <w:r w:rsidR="00E22B90">
              <w:rPr>
                <w:noProof/>
                <w:webHidden/>
              </w:rPr>
              <w:t>6</w:t>
            </w:r>
            <w:r w:rsidR="00E22B90">
              <w:rPr>
                <w:noProof/>
                <w:webHidden/>
              </w:rPr>
              <w:fldChar w:fldCharType="end"/>
            </w:r>
          </w:hyperlink>
        </w:p>
        <w:p w:rsidR="00E22B90" w:rsidRDefault="002B3342">
          <w:pPr>
            <w:pStyle w:val="TOC1"/>
            <w:rPr>
              <w:rFonts w:eastAsiaTheme="minorEastAsia"/>
              <w:noProof/>
              <w:lang w:eastAsia="en-GB"/>
            </w:rPr>
          </w:pPr>
          <w:hyperlink w:anchor="_Toc129768206" w:history="1">
            <w:r w:rsidR="00E22B90" w:rsidRPr="00D631E6">
              <w:rPr>
                <w:rStyle w:val="Hyperlink"/>
                <w:noProof/>
              </w:rPr>
              <w:t>7</w:t>
            </w:r>
            <w:r w:rsidR="00E22B90">
              <w:rPr>
                <w:rFonts w:eastAsiaTheme="minorEastAsia"/>
                <w:noProof/>
                <w:lang w:eastAsia="en-GB"/>
              </w:rPr>
              <w:tab/>
            </w:r>
            <w:r w:rsidR="00E22B90" w:rsidRPr="00D631E6">
              <w:rPr>
                <w:rStyle w:val="Hyperlink"/>
                <w:noProof/>
              </w:rPr>
              <w:t>Accommodation Support Criteria</w:t>
            </w:r>
            <w:r w:rsidR="00E22B90">
              <w:rPr>
                <w:noProof/>
                <w:webHidden/>
              </w:rPr>
              <w:tab/>
            </w:r>
            <w:r w:rsidR="00E22B90">
              <w:rPr>
                <w:noProof/>
                <w:webHidden/>
              </w:rPr>
              <w:fldChar w:fldCharType="begin"/>
            </w:r>
            <w:r w:rsidR="00E22B90">
              <w:rPr>
                <w:noProof/>
                <w:webHidden/>
              </w:rPr>
              <w:instrText xml:space="preserve"> PAGEREF _Toc129768206 \h </w:instrText>
            </w:r>
            <w:r w:rsidR="00E22B90">
              <w:rPr>
                <w:noProof/>
                <w:webHidden/>
              </w:rPr>
            </w:r>
            <w:r w:rsidR="00E22B90">
              <w:rPr>
                <w:noProof/>
                <w:webHidden/>
              </w:rPr>
              <w:fldChar w:fldCharType="separate"/>
            </w:r>
            <w:r w:rsidR="00E22B90">
              <w:rPr>
                <w:noProof/>
                <w:webHidden/>
              </w:rPr>
              <w:t>8</w:t>
            </w:r>
            <w:r w:rsidR="00E22B90">
              <w:rPr>
                <w:noProof/>
                <w:webHidden/>
              </w:rPr>
              <w:fldChar w:fldCharType="end"/>
            </w:r>
          </w:hyperlink>
        </w:p>
        <w:p w:rsidR="00E22B90" w:rsidRDefault="002B3342">
          <w:pPr>
            <w:pStyle w:val="TOC1"/>
            <w:rPr>
              <w:rFonts w:eastAsiaTheme="minorEastAsia"/>
              <w:noProof/>
              <w:lang w:eastAsia="en-GB"/>
            </w:rPr>
          </w:pPr>
          <w:hyperlink w:anchor="_Toc129768207" w:history="1">
            <w:r w:rsidR="00E22B90" w:rsidRPr="00D631E6">
              <w:rPr>
                <w:rStyle w:val="Hyperlink"/>
                <w:noProof/>
              </w:rPr>
              <w:t>8.</w:t>
            </w:r>
            <w:r w:rsidR="00E22B90">
              <w:rPr>
                <w:rFonts w:eastAsiaTheme="minorEastAsia"/>
                <w:noProof/>
                <w:lang w:eastAsia="en-GB"/>
              </w:rPr>
              <w:tab/>
            </w:r>
            <w:r w:rsidR="00E22B90" w:rsidRPr="00D631E6">
              <w:rPr>
                <w:rStyle w:val="Hyperlink"/>
                <w:noProof/>
              </w:rPr>
              <w:t>Remaining in Decant Property</w:t>
            </w:r>
            <w:r w:rsidR="00E22B90">
              <w:rPr>
                <w:noProof/>
                <w:webHidden/>
              </w:rPr>
              <w:tab/>
            </w:r>
            <w:r w:rsidR="00E22B90">
              <w:rPr>
                <w:noProof/>
                <w:webHidden/>
              </w:rPr>
              <w:fldChar w:fldCharType="begin"/>
            </w:r>
            <w:r w:rsidR="00E22B90">
              <w:rPr>
                <w:noProof/>
                <w:webHidden/>
              </w:rPr>
              <w:instrText xml:space="preserve"> PAGEREF _Toc129768207 \h </w:instrText>
            </w:r>
            <w:r w:rsidR="00E22B90">
              <w:rPr>
                <w:noProof/>
                <w:webHidden/>
              </w:rPr>
            </w:r>
            <w:r w:rsidR="00E22B90">
              <w:rPr>
                <w:noProof/>
                <w:webHidden/>
              </w:rPr>
              <w:fldChar w:fldCharType="separate"/>
            </w:r>
            <w:r w:rsidR="00E22B90">
              <w:rPr>
                <w:noProof/>
                <w:webHidden/>
              </w:rPr>
              <w:t>9</w:t>
            </w:r>
            <w:r w:rsidR="00E22B90">
              <w:rPr>
                <w:noProof/>
                <w:webHidden/>
              </w:rPr>
              <w:fldChar w:fldCharType="end"/>
            </w:r>
          </w:hyperlink>
        </w:p>
        <w:p w:rsidR="00E22B90" w:rsidRDefault="002B3342">
          <w:pPr>
            <w:pStyle w:val="TOC1"/>
            <w:rPr>
              <w:rFonts w:eastAsiaTheme="minorEastAsia"/>
              <w:noProof/>
              <w:lang w:eastAsia="en-GB"/>
            </w:rPr>
          </w:pPr>
          <w:hyperlink w:anchor="_Toc129768208" w:history="1">
            <w:r w:rsidR="00E22B90" w:rsidRPr="00D631E6">
              <w:rPr>
                <w:rStyle w:val="Hyperlink"/>
                <w:noProof/>
              </w:rPr>
              <w:t>9</w:t>
            </w:r>
            <w:r w:rsidR="00E22B90">
              <w:rPr>
                <w:rFonts w:eastAsiaTheme="minorEastAsia"/>
                <w:noProof/>
                <w:lang w:eastAsia="en-GB"/>
              </w:rPr>
              <w:tab/>
            </w:r>
            <w:r w:rsidR="00E22B90" w:rsidRPr="00D631E6">
              <w:rPr>
                <w:rStyle w:val="Hyperlink"/>
                <w:noProof/>
              </w:rPr>
              <w:t>Customer Refusing To Leave Decant Property</w:t>
            </w:r>
            <w:r w:rsidR="00E22B90">
              <w:rPr>
                <w:noProof/>
                <w:webHidden/>
              </w:rPr>
              <w:tab/>
            </w:r>
            <w:r w:rsidR="00E22B90">
              <w:rPr>
                <w:noProof/>
                <w:webHidden/>
              </w:rPr>
              <w:fldChar w:fldCharType="begin"/>
            </w:r>
            <w:r w:rsidR="00E22B90">
              <w:rPr>
                <w:noProof/>
                <w:webHidden/>
              </w:rPr>
              <w:instrText xml:space="preserve"> PAGEREF _Toc129768208 \h </w:instrText>
            </w:r>
            <w:r w:rsidR="00E22B90">
              <w:rPr>
                <w:noProof/>
                <w:webHidden/>
              </w:rPr>
            </w:r>
            <w:r w:rsidR="00E22B90">
              <w:rPr>
                <w:noProof/>
                <w:webHidden/>
              </w:rPr>
              <w:fldChar w:fldCharType="separate"/>
            </w:r>
            <w:r w:rsidR="00E22B90">
              <w:rPr>
                <w:noProof/>
                <w:webHidden/>
              </w:rPr>
              <w:t>9</w:t>
            </w:r>
            <w:r w:rsidR="00E22B90">
              <w:rPr>
                <w:noProof/>
                <w:webHidden/>
              </w:rPr>
              <w:fldChar w:fldCharType="end"/>
            </w:r>
          </w:hyperlink>
        </w:p>
        <w:p w:rsidR="00E22B90" w:rsidRDefault="002B3342">
          <w:pPr>
            <w:pStyle w:val="TOC1"/>
            <w:rPr>
              <w:rFonts w:eastAsiaTheme="minorEastAsia"/>
              <w:noProof/>
              <w:lang w:eastAsia="en-GB"/>
            </w:rPr>
          </w:pPr>
          <w:hyperlink w:anchor="_Toc129768209" w:history="1">
            <w:r w:rsidR="00E22B90" w:rsidRPr="00D631E6">
              <w:rPr>
                <w:rStyle w:val="Hyperlink"/>
                <w:noProof/>
              </w:rPr>
              <w:t>10</w:t>
            </w:r>
            <w:r w:rsidR="00E22B90">
              <w:rPr>
                <w:rFonts w:eastAsiaTheme="minorEastAsia"/>
                <w:noProof/>
                <w:lang w:eastAsia="en-GB"/>
              </w:rPr>
              <w:tab/>
            </w:r>
            <w:r w:rsidR="00E22B90" w:rsidRPr="00D631E6">
              <w:rPr>
                <w:rStyle w:val="Hyperlink"/>
                <w:noProof/>
              </w:rPr>
              <w:t>Policy Implementation</w:t>
            </w:r>
            <w:r w:rsidR="00E22B90">
              <w:rPr>
                <w:noProof/>
                <w:webHidden/>
              </w:rPr>
              <w:tab/>
            </w:r>
            <w:r w:rsidR="00E22B90">
              <w:rPr>
                <w:noProof/>
                <w:webHidden/>
              </w:rPr>
              <w:fldChar w:fldCharType="begin"/>
            </w:r>
            <w:r w:rsidR="00E22B90">
              <w:rPr>
                <w:noProof/>
                <w:webHidden/>
              </w:rPr>
              <w:instrText xml:space="preserve"> PAGEREF _Toc129768209 \h </w:instrText>
            </w:r>
            <w:r w:rsidR="00E22B90">
              <w:rPr>
                <w:noProof/>
                <w:webHidden/>
              </w:rPr>
            </w:r>
            <w:r w:rsidR="00E22B90">
              <w:rPr>
                <w:noProof/>
                <w:webHidden/>
              </w:rPr>
              <w:fldChar w:fldCharType="separate"/>
            </w:r>
            <w:r w:rsidR="00E22B90">
              <w:rPr>
                <w:noProof/>
                <w:webHidden/>
              </w:rPr>
              <w:t>10</w:t>
            </w:r>
            <w:r w:rsidR="00E22B90">
              <w:rPr>
                <w:noProof/>
                <w:webHidden/>
              </w:rPr>
              <w:fldChar w:fldCharType="end"/>
            </w:r>
          </w:hyperlink>
        </w:p>
        <w:p w:rsidR="00E22B90" w:rsidRDefault="002B3342">
          <w:pPr>
            <w:pStyle w:val="TOC1"/>
            <w:rPr>
              <w:rFonts w:eastAsiaTheme="minorEastAsia"/>
              <w:noProof/>
              <w:lang w:eastAsia="en-GB"/>
            </w:rPr>
          </w:pPr>
          <w:hyperlink w:anchor="_Toc129768210" w:history="1">
            <w:r w:rsidR="00E22B90" w:rsidRPr="00D631E6">
              <w:rPr>
                <w:rStyle w:val="Hyperlink"/>
                <w:noProof/>
              </w:rPr>
              <w:t>11</w:t>
            </w:r>
            <w:r w:rsidR="00E22B90">
              <w:rPr>
                <w:rFonts w:eastAsiaTheme="minorEastAsia"/>
                <w:noProof/>
                <w:lang w:eastAsia="en-GB"/>
              </w:rPr>
              <w:tab/>
            </w:r>
            <w:r w:rsidR="00E22B90" w:rsidRPr="00D631E6">
              <w:rPr>
                <w:rStyle w:val="Hyperlink"/>
                <w:noProof/>
              </w:rPr>
              <w:t>Equalities and Diversity</w:t>
            </w:r>
            <w:r w:rsidR="00E22B90">
              <w:rPr>
                <w:noProof/>
                <w:webHidden/>
              </w:rPr>
              <w:tab/>
            </w:r>
            <w:r w:rsidR="00E22B90">
              <w:rPr>
                <w:noProof/>
                <w:webHidden/>
              </w:rPr>
              <w:fldChar w:fldCharType="begin"/>
            </w:r>
            <w:r w:rsidR="00E22B90">
              <w:rPr>
                <w:noProof/>
                <w:webHidden/>
              </w:rPr>
              <w:instrText xml:space="preserve"> PAGEREF _Toc129768210 \h </w:instrText>
            </w:r>
            <w:r w:rsidR="00E22B90">
              <w:rPr>
                <w:noProof/>
                <w:webHidden/>
              </w:rPr>
            </w:r>
            <w:r w:rsidR="00E22B90">
              <w:rPr>
                <w:noProof/>
                <w:webHidden/>
              </w:rPr>
              <w:fldChar w:fldCharType="separate"/>
            </w:r>
            <w:r w:rsidR="00E22B90">
              <w:rPr>
                <w:noProof/>
                <w:webHidden/>
              </w:rPr>
              <w:t>10</w:t>
            </w:r>
            <w:r w:rsidR="00E22B90">
              <w:rPr>
                <w:noProof/>
                <w:webHidden/>
              </w:rPr>
              <w:fldChar w:fldCharType="end"/>
            </w:r>
          </w:hyperlink>
        </w:p>
        <w:p w:rsidR="00E22B90" w:rsidRDefault="002B3342">
          <w:pPr>
            <w:pStyle w:val="TOC1"/>
            <w:rPr>
              <w:rFonts w:eastAsiaTheme="minorEastAsia"/>
              <w:noProof/>
              <w:lang w:eastAsia="en-GB"/>
            </w:rPr>
          </w:pPr>
          <w:hyperlink w:anchor="_Toc129768211" w:history="1">
            <w:r w:rsidR="00E22B90" w:rsidRPr="00D631E6">
              <w:rPr>
                <w:rStyle w:val="Hyperlink"/>
                <w:noProof/>
              </w:rPr>
              <w:t>12.</w:t>
            </w:r>
            <w:r w:rsidR="00E22B90">
              <w:rPr>
                <w:rFonts w:eastAsiaTheme="minorEastAsia"/>
                <w:noProof/>
                <w:lang w:eastAsia="en-GB"/>
              </w:rPr>
              <w:tab/>
            </w:r>
            <w:r w:rsidR="00E22B90" w:rsidRPr="00D631E6">
              <w:rPr>
                <w:rStyle w:val="Hyperlink"/>
                <w:noProof/>
              </w:rPr>
              <w:t>Monitoring and Reporting</w:t>
            </w:r>
            <w:r w:rsidR="00E22B90">
              <w:rPr>
                <w:noProof/>
                <w:webHidden/>
              </w:rPr>
              <w:tab/>
            </w:r>
            <w:r w:rsidR="00E22B90">
              <w:rPr>
                <w:noProof/>
                <w:webHidden/>
              </w:rPr>
              <w:fldChar w:fldCharType="begin"/>
            </w:r>
            <w:r w:rsidR="00E22B90">
              <w:rPr>
                <w:noProof/>
                <w:webHidden/>
              </w:rPr>
              <w:instrText xml:space="preserve"> PAGEREF _Toc129768211 \h </w:instrText>
            </w:r>
            <w:r w:rsidR="00E22B90">
              <w:rPr>
                <w:noProof/>
                <w:webHidden/>
              </w:rPr>
            </w:r>
            <w:r w:rsidR="00E22B90">
              <w:rPr>
                <w:noProof/>
                <w:webHidden/>
              </w:rPr>
              <w:fldChar w:fldCharType="separate"/>
            </w:r>
            <w:r w:rsidR="00E22B90">
              <w:rPr>
                <w:noProof/>
                <w:webHidden/>
              </w:rPr>
              <w:t>10</w:t>
            </w:r>
            <w:r w:rsidR="00E22B90">
              <w:rPr>
                <w:noProof/>
                <w:webHidden/>
              </w:rPr>
              <w:fldChar w:fldCharType="end"/>
            </w:r>
          </w:hyperlink>
        </w:p>
        <w:p w:rsidR="00E22B90" w:rsidRDefault="002B3342">
          <w:pPr>
            <w:pStyle w:val="TOC1"/>
            <w:rPr>
              <w:rFonts w:eastAsiaTheme="minorEastAsia"/>
              <w:noProof/>
              <w:lang w:eastAsia="en-GB"/>
            </w:rPr>
          </w:pPr>
          <w:hyperlink w:anchor="_Toc129768212" w:history="1">
            <w:r w:rsidR="00E22B90" w:rsidRPr="00D631E6">
              <w:rPr>
                <w:rStyle w:val="Hyperlink"/>
                <w:noProof/>
              </w:rPr>
              <w:t>13.</w:t>
            </w:r>
            <w:r w:rsidR="00E22B90">
              <w:rPr>
                <w:rFonts w:eastAsiaTheme="minorEastAsia"/>
                <w:noProof/>
                <w:lang w:eastAsia="en-GB"/>
              </w:rPr>
              <w:tab/>
            </w:r>
            <w:r w:rsidR="00E22B90" w:rsidRPr="00D631E6">
              <w:rPr>
                <w:rStyle w:val="Hyperlink"/>
                <w:noProof/>
              </w:rPr>
              <w:t>Complaints Handling</w:t>
            </w:r>
            <w:r w:rsidR="00E22B90">
              <w:rPr>
                <w:noProof/>
                <w:webHidden/>
              </w:rPr>
              <w:tab/>
            </w:r>
            <w:r w:rsidR="00E22B90">
              <w:rPr>
                <w:noProof/>
                <w:webHidden/>
              </w:rPr>
              <w:fldChar w:fldCharType="begin"/>
            </w:r>
            <w:r w:rsidR="00E22B90">
              <w:rPr>
                <w:noProof/>
                <w:webHidden/>
              </w:rPr>
              <w:instrText xml:space="preserve"> PAGEREF _Toc129768212 \h </w:instrText>
            </w:r>
            <w:r w:rsidR="00E22B90">
              <w:rPr>
                <w:noProof/>
                <w:webHidden/>
              </w:rPr>
            </w:r>
            <w:r w:rsidR="00E22B90">
              <w:rPr>
                <w:noProof/>
                <w:webHidden/>
              </w:rPr>
              <w:fldChar w:fldCharType="separate"/>
            </w:r>
            <w:r w:rsidR="00E22B90">
              <w:rPr>
                <w:noProof/>
                <w:webHidden/>
              </w:rPr>
              <w:t>10</w:t>
            </w:r>
            <w:r w:rsidR="00E22B90">
              <w:rPr>
                <w:noProof/>
                <w:webHidden/>
              </w:rPr>
              <w:fldChar w:fldCharType="end"/>
            </w:r>
          </w:hyperlink>
        </w:p>
        <w:p w:rsidR="00E22B90" w:rsidRDefault="002B3342">
          <w:pPr>
            <w:pStyle w:val="TOC1"/>
            <w:rPr>
              <w:rFonts w:eastAsiaTheme="minorEastAsia"/>
              <w:noProof/>
              <w:lang w:eastAsia="en-GB"/>
            </w:rPr>
          </w:pPr>
          <w:hyperlink w:anchor="_Toc129768213" w:history="1">
            <w:r w:rsidR="00E22B90" w:rsidRPr="00D631E6">
              <w:rPr>
                <w:rStyle w:val="Hyperlink"/>
                <w:noProof/>
              </w:rPr>
              <w:t>14.</w:t>
            </w:r>
            <w:r w:rsidR="00E22B90">
              <w:rPr>
                <w:rFonts w:eastAsiaTheme="minorEastAsia"/>
                <w:noProof/>
                <w:lang w:eastAsia="en-GB"/>
              </w:rPr>
              <w:tab/>
            </w:r>
            <w:r w:rsidR="00E22B90" w:rsidRPr="00D631E6">
              <w:rPr>
                <w:rStyle w:val="Hyperlink"/>
                <w:noProof/>
              </w:rPr>
              <w:t>Review and Audit</w:t>
            </w:r>
            <w:r w:rsidR="00E22B90">
              <w:rPr>
                <w:noProof/>
                <w:webHidden/>
              </w:rPr>
              <w:tab/>
            </w:r>
            <w:r w:rsidR="00E22B90">
              <w:rPr>
                <w:noProof/>
                <w:webHidden/>
              </w:rPr>
              <w:fldChar w:fldCharType="begin"/>
            </w:r>
            <w:r w:rsidR="00E22B90">
              <w:rPr>
                <w:noProof/>
                <w:webHidden/>
              </w:rPr>
              <w:instrText xml:space="preserve"> PAGEREF _Toc129768213 \h </w:instrText>
            </w:r>
            <w:r w:rsidR="00E22B90">
              <w:rPr>
                <w:noProof/>
                <w:webHidden/>
              </w:rPr>
            </w:r>
            <w:r w:rsidR="00E22B90">
              <w:rPr>
                <w:noProof/>
                <w:webHidden/>
              </w:rPr>
              <w:fldChar w:fldCharType="separate"/>
            </w:r>
            <w:r w:rsidR="00E22B90">
              <w:rPr>
                <w:noProof/>
                <w:webHidden/>
              </w:rPr>
              <w:t>11</w:t>
            </w:r>
            <w:r w:rsidR="00E22B90">
              <w:rPr>
                <w:noProof/>
                <w:webHidden/>
              </w:rPr>
              <w:fldChar w:fldCharType="end"/>
            </w:r>
          </w:hyperlink>
        </w:p>
        <w:p w:rsidR="005D5897" w:rsidRDefault="005D5897">
          <w:r>
            <w:rPr>
              <w:b/>
              <w:bCs/>
              <w:noProof/>
            </w:rPr>
            <w:fldChar w:fldCharType="end"/>
          </w:r>
        </w:p>
      </w:sdtContent>
    </w:sdt>
    <w:p w:rsidR="00862D60" w:rsidRDefault="00862D60" w:rsidP="002A0680">
      <w:pPr>
        <w:spacing w:after="0" w:line="240" w:lineRule="auto"/>
        <w:outlineLvl w:val="0"/>
        <w:rPr>
          <w:rFonts w:ascii="Arial" w:hAnsi="Arial" w:cs="Arial"/>
          <w:b/>
          <w:sz w:val="24"/>
          <w:szCs w:val="24"/>
        </w:rPr>
      </w:pPr>
    </w:p>
    <w:p w:rsidR="00855D59" w:rsidRDefault="00855D59" w:rsidP="00FC1B26">
      <w:pPr>
        <w:spacing w:after="0" w:line="240" w:lineRule="auto"/>
        <w:ind w:left="709" w:hanging="709"/>
        <w:outlineLvl w:val="0"/>
        <w:rPr>
          <w:rFonts w:ascii="Arial" w:hAnsi="Arial" w:cs="Arial"/>
          <w:b/>
          <w:sz w:val="24"/>
          <w:szCs w:val="24"/>
        </w:rPr>
      </w:pPr>
    </w:p>
    <w:p w:rsidR="00182B32" w:rsidRDefault="00182B32" w:rsidP="00FC1B26">
      <w:pPr>
        <w:spacing w:after="0" w:line="240" w:lineRule="auto"/>
        <w:ind w:left="709" w:hanging="709"/>
        <w:outlineLvl w:val="0"/>
        <w:rPr>
          <w:rFonts w:ascii="Arial" w:hAnsi="Arial" w:cs="Arial"/>
          <w:b/>
          <w:sz w:val="24"/>
          <w:szCs w:val="24"/>
        </w:rPr>
      </w:pPr>
    </w:p>
    <w:p w:rsidR="00182B32" w:rsidRDefault="00182B32" w:rsidP="00FC1B26">
      <w:pPr>
        <w:spacing w:after="0" w:line="240" w:lineRule="auto"/>
        <w:ind w:left="709" w:hanging="709"/>
        <w:outlineLvl w:val="0"/>
        <w:rPr>
          <w:rFonts w:ascii="Arial" w:hAnsi="Arial" w:cs="Arial"/>
          <w:b/>
          <w:sz w:val="24"/>
          <w:szCs w:val="24"/>
        </w:rPr>
      </w:pPr>
    </w:p>
    <w:p w:rsidR="00182B32" w:rsidRDefault="00182B32" w:rsidP="00FC1B26">
      <w:pPr>
        <w:spacing w:after="0" w:line="240" w:lineRule="auto"/>
        <w:ind w:left="709" w:hanging="709"/>
        <w:outlineLvl w:val="0"/>
        <w:rPr>
          <w:rFonts w:ascii="Arial" w:hAnsi="Arial" w:cs="Arial"/>
          <w:b/>
          <w:sz w:val="24"/>
          <w:szCs w:val="24"/>
        </w:rPr>
      </w:pPr>
    </w:p>
    <w:p w:rsidR="00182B32" w:rsidRDefault="00182B32" w:rsidP="00FC1B26">
      <w:pPr>
        <w:spacing w:after="0" w:line="240" w:lineRule="auto"/>
        <w:ind w:left="709" w:hanging="709"/>
        <w:outlineLvl w:val="0"/>
        <w:rPr>
          <w:rFonts w:ascii="Arial" w:hAnsi="Arial" w:cs="Arial"/>
          <w:b/>
          <w:sz w:val="24"/>
          <w:szCs w:val="24"/>
        </w:rPr>
      </w:pPr>
    </w:p>
    <w:p w:rsidR="00182B32" w:rsidRDefault="00182B32" w:rsidP="00FC1B26">
      <w:pPr>
        <w:spacing w:after="0" w:line="240" w:lineRule="auto"/>
        <w:ind w:left="709" w:hanging="709"/>
        <w:outlineLvl w:val="0"/>
        <w:rPr>
          <w:rFonts w:ascii="Arial" w:hAnsi="Arial" w:cs="Arial"/>
          <w:b/>
          <w:sz w:val="24"/>
          <w:szCs w:val="24"/>
        </w:rPr>
      </w:pPr>
    </w:p>
    <w:p w:rsidR="00182B32" w:rsidRDefault="00182B32" w:rsidP="00FC1B26">
      <w:pPr>
        <w:spacing w:after="0" w:line="240" w:lineRule="auto"/>
        <w:ind w:left="709" w:hanging="709"/>
        <w:outlineLvl w:val="0"/>
        <w:rPr>
          <w:rFonts w:ascii="Arial" w:hAnsi="Arial" w:cs="Arial"/>
          <w:b/>
          <w:sz w:val="24"/>
          <w:szCs w:val="24"/>
        </w:rPr>
      </w:pPr>
    </w:p>
    <w:p w:rsidR="00182B32" w:rsidRDefault="00182B32" w:rsidP="00FC1B26">
      <w:pPr>
        <w:spacing w:after="0" w:line="240" w:lineRule="auto"/>
        <w:ind w:left="709" w:hanging="709"/>
        <w:outlineLvl w:val="0"/>
        <w:rPr>
          <w:rFonts w:ascii="Arial" w:hAnsi="Arial" w:cs="Arial"/>
          <w:b/>
          <w:sz w:val="24"/>
          <w:szCs w:val="24"/>
        </w:rPr>
      </w:pPr>
    </w:p>
    <w:p w:rsidR="00182B32" w:rsidRDefault="00182B32" w:rsidP="00FC1B26">
      <w:pPr>
        <w:spacing w:after="0" w:line="240" w:lineRule="auto"/>
        <w:ind w:left="709" w:hanging="709"/>
        <w:outlineLvl w:val="0"/>
        <w:rPr>
          <w:rFonts w:ascii="Arial" w:hAnsi="Arial" w:cs="Arial"/>
          <w:b/>
          <w:sz w:val="24"/>
          <w:szCs w:val="24"/>
        </w:rPr>
      </w:pPr>
    </w:p>
    <w:p w:rsidR="00182B32" w:rsidRDefault="00182B32" w:rsidP="00FC1B26">
      <w:pPr>
        <w:spacing w:after="0" w:line="240" w:lineRule="auto"/>
        <w:ind w:left="709" w:hanging="709"/>
        <w:outlineLvl w:val="0"/>
        <w:rPr>
          <w:rFonts w:ascii="Arial" w:hAnsi="Arial" w:cs="Arial"/>
          <w:b/>
          <w:sz w:val="24"/>
          <w:szCs w:val="24"/>
        </w:rPr>
      </w:pPr>
    </w:p>
    <w:p w:rsidR="00182B32" w:rsidRDefault="00182B32" w:rsidP="00FC1B26">
      <w:pPr>
        <w:spacing w:after="0" w:line="240" w:lineRule="auto"/>
        <w:ind w:left="709" w:hanging="709"/>
        <w:outlineLvl w:val="0"/>
        <w:rPr>
          <w:rFonts w:ascii="Arial" w:hAnsi="Arial" w:cs="Arial"/>
          <w:b/>
          <w:sz w:val="24"/>
          <w:szCs w:val="24"/>
        </w:rPr>
      </w:pPr>
    </w:p>
    <w:p w:rsidR="00182B32" w:rsidRDefault="00182B32" w:rsidP="00FC1B26">
      <w:pPr>
        <w:spacing w:after="0" w:line="240" w:lineRule="auto"/>
        <w:ind w:left="709" w:hanging="709"/>
        <w:outlineLvl w:val="0"/>
        <w:rPr>
          <w:rFonts w:ascii="Arial" w:hAnsi="Arial" w:cs="Arial"/>
          <w:b/>
          <w:sz w:val="24"/>
          <w:szCs w:val="24"/>
        </w:rPr>
      </w:pPr>
    </w:p>
    <w:p w:rsidR="00182B32" w:rsidRDefault="00182B32" w:rsidP="00FC1B26">
      <w:pPr>
        <w:spacing w:after="0" w:line="240" w:lineRule="auto"/>
        <w:ind w:left="709" w:hanging="709"/>
        <w:outlineLvl w:val="0"/>
        <w:rPr>
          <w:rFonts w:ascii="Arial" w:hAnsi="Arial" w:cs="Arial"/>
          <w:b/>
          <w:sz w:val="24"/>
          <w:szCs w:val="24"/>
        </w:rPr>
      </w:pPr>
    </w:p>
    <w:p w:rsidR="00182B32" w:rsidRDefault="00182B32" w:rsidP="00FC1B26">
      <w:pPr>
        <w:spacing w:after="0" w:line="240" w:lineRule="auto"/>
        <w:ind w:left="709" w:hanging="709"/>
        <w:outlineLvl w:val="0"/>
        <w:rPr>
          <w:rFonts w:ascii="Arial" w:hAnsi="Arial" w:cs="Arial"/>
          <w:b/>
          <w:sz w:val="24"/>
          <w:szCs w:val="24"/>
        </w:rPr>
      </w:pPr>
    </w:p>
    <w:p w:rsidR="00182B32" w:rsidRDefault="00182B32" w:rsidP="00FC1B26">
      <w:pPr>
        <w:spacing w:after="0" w:line="240" w:lineRule="auto"/>
        <w:ind w:left="709" w:hanging="709"/>
        <w:outlineLvl w:val="0"/>
        <w:rPr>
          <w:rFonts w:ascii="Arial" w:hAnsi="Arial" w:cs="Arial"/>
          <w:b/>
          <w:sz w:val="24"/>
          <w:szCs w:val="24"/>
        </w:rPr>
      </w:pPr>
    </w:p>
    <w:p w:rsidR="00182B32" w:rsidRDefault="00182B32" w:rsidP="00FC1B26">
      <w:pPr>
        <w:spacing w:after="0" w:line="240" w:lineRule="auto"/>
        <w:ind w:left="709" w:hanging="709"/>
        <w:outlineLvl w:val="0"/>
        <w:rPr>
          <w:rFonts w:ascii="Arial" w:hAnsi="Arial" w:cs="Arial"/>
          <w:b/>
          <w:sz w:val="24"/>
          <w:szCs w:val="24"/>
        </w:rPr>
      </w:pPr>
    </w:p>
    <w:p w:rsidR="00182B32" w:rsidRDefault="00182B32" w:rsidP="00FC1B26">
      <w:pPr>
        <w:spacing w:after="0" w:line="240" w:lineRule="auto"/>
        <w:ind w:left="709" w:hanging="709"/>
        <w:outlineLvl w:val="0"/>
        <w:rPr>
          <w:rFonts w:ascii="Arial" w:hAnsi="Arial" w:cs="Arial"/>
          <w:b/>
          <w:sz w:val="24"/>
          <w:szCs w:val="24"/>
        </w:rPr>
      </w:pPr>
    </w:p>
    <w:p w:rsidR="00182B32" w:rsidRDefault="00182B32" w:rsidP="00FC1B26">
      <w:pPr>
        <w:spacing w:after="0" w:line="240" w:lineRule="auto"/>
        <w:ind w:left="709" w:hanging="709"/>
        <w:outlineLvl w:val="0"/>
        <w:rPr>
          <w:rFonts w:ascii="Arial" w:hAnsi="Arial" w:cs="Arial"/>
          <w:b/>
          <w:sz w:val="24"/>
          <w:szCs w:val="24"/>
        </w:rPr>
      </w:pPr>
    </w:p>
    <w:p w:rsidR="00182B32" w:rsidRDefault="00182B32" w:rsidP="00FC1B26">
      <w:pPr>
        <w:spacing w:after="0" w:line="240" w:lineRule="auto"/>
        <w:ind w:left="709" w:hanging="709"/>
        <w:outlineLvl w:val="0"/>
        <w:rPr>
          <w:rFonts w:ascii="Arial" w:hAnsi="Arial" w:cs="Arial"/>
          <w:b/>
          <w:sz w:val="24"/>
          <w:szCs w:val="24"/>
        </w:rPr>
      </w:pPr>
    </w:p>
    <w:p w:rsidR="00182B32" w:rsidRDefault="00182B32" w:rsidP="00FC1B26">
      <w:pPr>
        <w:spacing w:after="0" w:line="240" w:lineRule="auto"/>
        <w:ind w:left="709" w:hanging="709"/>
        <w:outlineLvl w:val="0"/>
        <w:rPr>
          <w:rFonts w:ascii="Arial" w:hAnsi="Arial" w:cs="Arial"/>
          <w:b/>
          <w:sz w:val="24"/>
          <w:szCs w:val="24"/>
        </w:rPr>
      </w:pPr>
    </w:p>
    <w:p w:rsidR="00182B32" w:rsidRDefault="00182B32" w:rsidP="00FC1B26">
      <w:pPr>
        <w:spacing w:after="0" w:line="240" w:lineRule="auto"/>
        <w:ind w:left="709" w:hanging="709"/>
        <w:outlineLvl w:val="0"/>
        <w:rPr>
          <w:rFonts w:ascii="Arial" w:hAnsi="Arial" w:cs="Arial"/>
          <w:b/>
          <w:sz w:val="24"/>
          <w:szCs w:val="24"/>
        </w:rPr>
      </w:pPr>
    </w:p>
    <w:p w:rsidR="00182B32" w:rsidRDefault="00182B32" w:rsidP="00FC1B26">
      <w:pPr>
        <w:spacing w:after="0" w:line="240" w:lineRule="auto"/>
        <w:ind w:left="709" w:hanging="709"/>
        <w:outlineLvl w:val="0"/>
        <w:rPr>
          <w:rFonts w:ascii="Arial" w:hAnsi="Arial" w:cs="Arial"/>
          <w:b/>
          <w:sz w:val="24"/>
          <w:szCs w:val="24"/>
        </w:rPr>
      </w:pPr>
    </w:p>
    <w:p w:rsidR="000D4138" w:rsidRDefault="00367E04" w:rsidP="00367E04">
      <w:pPr>
        <w:pStyle w:val="Heading1"/>
      </w:pPr>
      <w:bookmarkStart w:id="0" w:name="_Toc129768186"/>
      <w:r>
        <w:lastRenderedPageBreak/>
        <w:t>1.</w:t>
      </w:r>
      <w:r>
        <w:tab/>
      </w:r>
      <w:r w:rsidR="000D4138" w:rsidRPr="00D5453E">
        <w:t>Introduction</w:t>
      </w:r>
      <w:bookmarkEnd w:id="0"/>
      <w:r w:rsidR="00374FF1">
        <w:t xml:space="preserve"> </w:t>
      </w:r>
    </w:p>
    <w:p w:rsidR="000555B3" w:rsidRDefault="000555B3" w:rsidP="000555B3"/>
    <w:p w:rsidR="000135F7" w:rsidRDefault="003549A9" w:rsidP="000135F7">
      <w:pPr>
        <w:pStyle w:val="ListParagraph"/>
        <w:numPr>
          <w:ilvl w:val="1"/>
          <w:numId w:val="29"/>
        </w:numPr>
        <w:rPr>
          <w:rFonts w:cs="Arial"/>
          <w:sz w:val="24"/>
          <w:szCs w:val="24"/>
        </w:rPr>
      </w:pPr>
      <w:r w:rsidRPr="000135F7">
        <w:rPr>
          <w:rFonts w:cs="Arial"/>
          <w:sz w:val="24"/>
          <w:szCs w:val="24"/>
        </w:rPr>
        <w:t>The</w:t>
      </w:r>
      <w:r w:rsidR="002A0306" w:rsidRPr="000135F7">
        <w:rPr>
          <w:rFonts w:cs="Arial"/>
          <w:sz w:val="24"/>
          <w:szCs w:val="24"/>
        </w:rPr>
        <w:t xml:space="preserve"> aim of the</w:t>
      </w:r>
      <w:r w:rsidR="00B8067B" w:rsidRPr="000135F7">
        <w:rPr>
          <w:rFonts w:cs="Arial"/>
          <w:sz w:val="24"/>
          <w:szCs w:val="24"/>
        </w:rPr>
        <w:t xml:space="preserve"> </w:t>
      </w:r>
      <w:r w:rsidR="002A0306" w:rsidRPr="000135F7">
        <w:rPr>
          <w:rFonts w:cs="Arial"/>
          <w:sz w:val="24"/>
          <w:szCs w:val="24"/>
        </w:rPr>
        <w:t xml:space="preserve">Policy is </w:t>
      </w:r>
      <w:r w:rsidRPr="000135F7">
        <w:rPr>
          <w:rFonts w:cs="Arial"/>
          <w:sz w:val="24"/>
          <w:szCs w:val="24"/>
        </w:rPr>
        <w:t>to ensure that we have a</w:t>
      </w:r>
      <w:r w:rsidR="002A0306" w:rsidRPr="000135F7">
        <w:rPr>
          <w:rFonts w:cs="Arial"/>
          <w:sz w:val="24"/>
          <w:szCs w:val="24"/>
        </w:rPr>
        <w:t xml:space="preserve"> transparent process for identifying, documenting </w:t>
      </w:r>
      <w:r w:rsidRPr="000135F7">
        <w:rPr>
          <w:rFonts w:cs="Arial"/>
          <w:sz w:val="24"/>
          <w:szCs w:val="24"/>
        </w:rPr>
        <w:t>and</w:t>
      </w:r>
      <w:r w:rsidR="002A0306" w:rsidRPr="000135F7">
        <w:rPr>
          <w:rFonts w:cs="Arial"/>
          <w:sz w:val="24"/>
          <w:szCs w:val="24"/>
        </w:rPr>
        <w:t xml:space="preserve"> handling</w:t>
      </w:r>
      <w:r w:rsidR="00B8067B" w:rsidRPr="000135F7">
        <w:rPr>
          <w:rFonts w:cs="Arial"/>
          <w:sz w:val="24"/>
          <w:szCs w:val="24"/>
        </w:rPr>
        <w:t xml:space="preserve"> a required move for our customers from their home in order to permit repair, an improvement or an adaption to be completed that has been determined</w:t>
      </w:r>
      <w:r w:rsidR="00D61B1C" w:rsidRPr="000135F7">
        <w:rPr>
          <w:rFonts w:cs="Arial"/>
          <w:sz w:val="24"/>
          <w:szCs w:val="24"/>
        </w:rPr>
        <w:t xml:space="preserve">.  </w:t>
      </w:r>
    </w:p>
    <w:p w:rsidR="000135F7" w:rsidRPr="000135F7" w:rsidRDefault="000135F7" w:rsidP="000135F7">
      <w:pPr>
        <w:pStyle w:val="ListParagraph"/>
        <w:rPr>
          <w:rFonts w:cs="Arial"/>
          <w:sz w:val="24"/>
          <w:szCs w:val="24"/>
        </w:rPr>
      </w:pPr>
    </w:p>
    <w:p w:rsidR="00652885" w:rsidRPr="000135F7" w:rsidRDefault="00D61B1C" w:rsidP="000135F7">
      <w:pPr>
        <w:pStyle w:val="ListParagraph"/>
        <w:numPr>
          <w:ilvl w:val="1"/>
          <w:numId w:val="29"/>
        </w:numPr>
        <w:rPr>
          <w:rFonts w:cs="Arial"/>
          <w:sz w:val="24"/>
          <w:szCs w:val="24"/>
        </w:rPr>
      </w:pPr>
      <w:r w:rsidRPr="000135F7">
        <w:rPr>
          <w:rFonts w:cs="Arial"/>
          <w:sz w:val="24"/>
          <w:szCs w:val="24"/>
        </w:rPr>
        <w:t xml:space="preserve">It will be done in </w:t>
      </w:r>
      <w:r w:rsidR="000135F7">
        <w:rPr>
          <w:rFonts w:cs="Arial"/>
          <w:sz w:val="24"/>
          <w:szCs w:val="24"/>
        </w:rPr>
        <w:t>accordance with Tenancy A</w:t>
      </w:r>
      <w:r w:rsidR="002A0306" w:rsidRPr="000135F7">
        <w:rPr>
          <w:rFonts w:cs="Arial"/>
          <w:sz w:val="24"/>
          <w:szCs w:val="24"/>
        </w:rPr>
        <w:t>greement’s legal clauses</w:t>
      </w:r>
      <w:r w:rsidRPr="000135F7">
        <w:rPr>
          <w:rFonts w:cs="Arial"/>
          <w:sz w:val="24"/>
          <w:szCs w:val="24"/>
        </w:rPr>
        <w:t xml:space="preserve"> and contractual </w:t>
      </w:r>
      <w:r w:rsidR="002A0306" w:rsidRPr="000135F7">
        <w:rPr>
          <w:rFonts w:cs="Arial"/>
          <w:sz w:val="24"/>
          <w:szCs w:val="24"/>
        </w:rPr>
        <w:t>requirements.</w:t>
      </w:r>
      <w:r w:rsidR="00B8067B" w:rsidRPr="000135F7">
        <w:rPr>
          <w:rFonts w:cs="Arial"/>
          <w:sz w:val="24"/>
          <w:szCs w:val="24"/>
        </w:rPr>
        <w:t xml:space="preserve">  In addition, this policy will also specify </w:t>
      </w:r>
      <w:r w:rsidR="000135F7">
        <w:rPr>
          <w:rFonts w:cs="Arial"/>
          <w:sz w:val="24"/>
          <w:szCs w:val="24"/>
        </w:rPr>
        <w:t xml:space="preserve">decant support </w:t>
      </w:r>
      <w:r w:rsidR="00B8067B" w:rsidRPr="000135F7">
        <w:rPr>
          <w:rFonts w:cs="Arial"/>
          <w:sz w:val="24"/>
          <w:szCs w:val="24"/>
        </w:rPr>
        <w:t>as part of a schedule of planned repair tasks</w:t>
      </w:r>
      <w:r w:rsidR="000135F7">
        <w:rPr>
          <w:rFonts w:cs="Arial"/>
          <w:sz w:val="24"/>
          <w:szCs w:val="24"/>
        </w:rPr>
        <w:t xml:space="preserve"> that is required for the </w:t>
      </w:r>
      <w:r w:rsidR="00CB3D10">
        <w:rPr>
          <w:rFonts w:cs="Arial"/>
          <w:sz w:val="24"/>
          <w:szCs w:val="24"/>
        </w:rPr>
        <w:t>customer’s</w:t>
      </w:r>
      <w:r w:rsidR="000135F7">
        <w:rPr>
          <w:rFonts w:cs="Arial"/>
          <w:sz w:val="24"/>
          <w:szCs w:val="24"/>
        </w:rPr>
        <w:t xml:space="preserve"> permanent home</w:t>
      </w:r>
      <w:r w:rsidR="00B8067B" w:rsidRPr="000135F7">
        <w:rPr>
          <w:rFonts w:cs="Arial"/>
          <w:sz w:val="24"/>
          <w:szCs w:val="24"/>
        </w:rPr>
        <w:t>.</w:t>
      </w:r>
    </w:p>
    <w:p w:rsidR="00652885" w:rsidRDefault="00367E04" w:rsidP="00367E04">
      <w:pPr>
        <w:pStyle w:val="Heading1"/>
      </w:pPr>
      <w:bookmarkStart w:id="1" w:name="_Toc129768187"/>
      <w:r>
        <w:t>2.</w:t>
      </w:r>
      <w:r>
        <w:tab/>
      </w:r>
      <w:r w:rsidR="00652885">
        <w:t>Policy Statement</w:t>
      </w:r>
      <w:bookmarkEnd w:id="1"/>
    </w:p>
    <w:p w:rsidR="00652885" w:rsidRPr="000135F7" w:rsidRDefault="00652885" w:rsidP="00652885"/>
    <w:p w:rsidR="00652885" w:rsidRPr="000135F7" w:rsidRDefault="00652885" w:rsidP="00DF047F">
      <w:pPr>
        <w:ind w:left="720" w:hanging="720"/>
        <w:rPr>
          <w:rFonts w:cs="Arial"/>
          <w:sz w:val="24"/>
          <w:szCs w:val="24"/>
        </w:rPr>
      </w:pPr>
      <w:r w:rsidRPr="000135F7">
        <w:rPr>
          <w:rFonts w:cs="Arial"/>
          <w:sz w:val="24"/>
          <w:szCs w:val="24"/>
        </w:rPr>
        <w:t>2.1</w:t>
      </w:r>
      <w:r w:rsidRPr="000135F7">
        <w:rPr>
          <w:rFonts w:cs="Arial"/>
          <w:sz w:val="24"/>
          <w:szCs w:val="24"/>
        </w:rPr>
        <w:tab/>
      </w:r>
      <w:r w:rsidR="00DF047F" w:rsidRPr="000135F7">
        <w:rPr>
          <w:rFonts w:cs="Arial"/>
          <w:sz w:val="24"/>
          <w:szCs w:val="24"/>
        </w:rPr>
        <w:t>Govan Housing Association may occasiona</w:t>
      </w:r>
      <w:r w:rsidR="006669F6" w:rsidRPr="000135F7">
        <w:rPr>
          <w:rFonts w:cs="Arial"/>
          <w:sz w:val="24"/>
          <w:szCs w:val="24"/>
        </w:rPr>
        <w:t>lly be compelled to handle D</w:t>
      </w:r>
      <w:r w:rsidR="00DF047F" w:rsidRPr="000135F7">
        <w:rPr>
          <w:rFonts w:cs="Arial"/>
          <w:sz w:val="24"/>
          <w:szCs w:val="24"/>
        </w:rPr>
        <w:t>ecant</w:t>
      </w:r>
      <w:r w:rsidR="006669F6" w:rsidRPr="000135F7">
        <w:rPr>
          <w:rFonts w:cs="Arial"/>
          <w:sz w:val="24"/>
          <w:szCs w:val="24"/>
        </w:rPr>
        <w:t xml:space="preserve">s of certain customer or customer </w:t>
      </w:r>
      <w:r w:rsidR="00DF047F" w:rsidRPr="000135F7">
        <w:rPr>
          <w:rFonts w:cs="Arial"/>
          <w:sz w:val="24"/>
          <w:szCs w:val="24"/>
        </w:rPr>
        <w:t>groups. They are typically carried out when a property requires extensive repairs</w:t>
      </w:r>
      <w:r w:rsidR="00EC0ABB" w:rsidRPr="000135F7">
        <w:rPr>
          <w:rFonts w:cs="Arial"/>
          <w:sz w:val="24"/>
          <w:szCs w:val="24"/>
        </w:rPr>
        <w:t xml:space="preserve"> or major works</w:t>
      </w:r>
      <w:r w:rsidR="00DF047F" w:rsidRPr="000135F7">
        <w:rPr>
          <w:rFonts w:cs="Arial"/>
          <w:sz w:val="24"/>
          <w:szCs w:val="24"/>
        </w:rPr>
        <w:t>, renovati</w:t>
      </w:r>
      <w:r w:rsidR="000135F7" w:rsidRPr="000135F7">
        <w:rPr>
          <w:rFonts w:cs="Arial"/>
          <w:sz w:val="24"/>
          <w:szCs w:val="24"/>
        </w:rPr>
        <w:t>on, modernisation,</w:t>
      </w:r>
      <w:r w:rsidR="00DF047F" w:rsidRPr="000135F7">
        <w:rPr>
          <w:rFonts w:cs="Arial"/>
          <w:sz w:val="24"/>
          <w:szCs w:val="24"/>
        </w:rPr>
        <w:t xml:space="preserve"> and it is </w:t>
      </w:r>
      <w:r w:rsidR="00EC0ABB" w:rsidRPr="000135F7">
        <w:rPr>
          <w:rFonts w:cs="Arial"/>
          <w:sz w:val="24"/>
          <w:szCs w:val="24"/>
        </w:rPr>
        <w:t>neither practicable nor</w:t>
      </w:r>
      <w:r w:rsidR="00DF047F" w:rsidRPr="000135F7">
        <w:rPr>
          <w:rFonts w:cs="Arial"/>
          <w:sz w:val="24"/>
          <w:szCs w:val="24"/>
        </w:rPr>
        <w:t xml:space="preserve"> </w:t>
      </w:r>
      <w:r w:rsidR="00EC0ABB" w:rsidRPr="000135F7">
        <w:rPr>
          <w:rFonts w:cs="Arial"/>
          <w:sz w:val="24"/>
          <w:szCs w:val="24"/>
        </w:rPr>
        <w:t>suitable</w:t>
      </w:r>
      <w:r w:rsidR="000135F7" w:rsidRPr="000135F7">
        <w:rPr>
          <w:rFonts w:cs="Arial"/>
          <w:sz w:val="24"/>
          <w:szCs w:val="24"/>
        </w:rPr>
        <w:t xml:space="preserve"> for the customer or their family</w:t>
      </w:r>
      <w:r w:rsidR="00DF047F" w:rsidRPr="000135F7">
        <w:rPr>
          <w:rFonts w:cs="Arial"/>
          <w:sz w:val="24"/>
          <w:szCs w:val="24"/>
        </w:rPr>
        <w:t xml:space="preserve"> to remain in the property</w:t>
      </w:r>
      <w:r w:rsidR="00EC0ABB" w:rsidRPr="000135F7">
        <w:rPr>
          <w:rFonts w:cs="Arial"/>
          <w:sz w:val="24"/>
          <w:szCs w:val="24"/>
        </w:rPr>
        <w:t xml:space="preserve"> while the work is being completed</w:t>
      </w:r>
      <w:r w:rsidR="00DF047F" w:rsidRPr="000135F7">
        <w:rPr>
          <w:rFonts w:cs="Arial"/>
          <w:sz w:val="24"/>
          <w:szCs w:val="24"/>
        </w:rPr>
        <w:t>.</w:t>
      </w:r>
    </w:p>
    <w:p w:rsidR="00EC0ABB" w:rsidRPr="000135F7" w:rsidRDefault="00EC0ABB" w:rsidP="00DF047F">
      <w:pPr>
        <w:ind w:left="720" w:hanging="720"/>
        <w:rPr>
          <w:rFonts w:cs="Arial"/>
          <w:sz w:val="24"/>
          <w:szCs w:val="24"/>
        </w:rPr>
      </w:pPr>
      <w:r w:rsidRPr="000135F7">
        <w:rPr>
          <w:rFonts w:cs="Arial"/>
          <w:sz w:val="24"/>
          <w:szCs w:val="24"/>
        </w:rPr>
        <w:t>2.2</w:t>
      </w:r>
      <w:r w:rsidRPr="000135F7">
        <w:rPr>
          <w:rFonts w:cs="Arial"/>
          <w:sz w:val="24"/>
          <w:szCs w:val="24"/>
        </w:rPr>
        <w:tab/>
        <w:t>In all cases Govan Housing Association will work</w:t>
      </w:r>
      <w:r w:rsidR="000135F7" w:rsidRPr="000135F7">
        <w:rPr>
          <w:rFonts w:cs="Arial"/>
          <w:sz w:val="24"/>
          <w:szCs w:val="24"/>
        </w:rPr>
        <w:t xml:space="preserve"> with customers throughout the D</w:t>
      </w:r>
      <w:r w:rsidRPr="000135F7">
        <w:rPr>
          <w:rFonts w:cs="Arial"/>
          <w:sz w:val="24"/>
          <w:szCs w:val="24"/>
        </w:rPr>
        <w:t>ecant process to ensure that the disruption to their lives is kept to a minimum.</w:t>
      </w:r>
    </w:p>
    <w:p w:rsidR="00EC0ABB" w:rsidRPr="000135F7" w:rsidRDefault="000135F7" w:rsidP="00EC0ABB">
      <w:pPr>
        <w:ind w:left="720" w:hanging="720"/>
        <w:rPr>
          <w:rFonts w:cs="Arial"/>
          <w:sz w:val="24"/>
          <w:szCs w:val="24"/>
        </w:rPr>
      </w:pPr>
      <w:r>
        <w:rPr>
          <w:rFonts w:cs="Arial"/>
          <w:sz w:val="24"/>
          <w:szCs w:val="24"/>
        </w:rPr>
        <w:t>2.3</w:t>
      </w:r>
      <w:r w:rsidR="00EC0ABB" w:rsidRPr="000135F7">
        <w:rPr>
          <w:rFonts w:cs="Arial"/>
          <w:sz w:val="24"/>
          <w:szCs w:val="24"/>
        </w:rPr>
        <w:tab/>
        <w:t xml:space="preserve">Any contributions, including those made at the Association's discretion, may be fully or partially applied against any debts owed to the Association. </w:t>
      </w:r>
    </w:p>
    <w:p w:rsidR="00E12D63" w:rsidRPr="000135F7" w:rsidRDefault="000135F7" w:rsidP="00A21885">
      <w:pPr>
        <w:ind w:left="720" w:hanging="720"/>
        <w:rPr>
          <w:rFonts w:cs="Arial"/>
          <w:sz w:val="24"/>
          <w:szCs w:val="24"/>
        </w:rPr>
      </w:pPr>
      <w:r>
        <w:rPr>
          <w:rFonts w:cs="Arial"/>
          <w:sz w:val="24"/>
          <w:szCs w:val="24"/>
        </w:rPr>
        <w:t>2.4</w:t>
      </w:r>
      <w:r w:rsidR="00A418EC" w:rsidRPr="000135F7">
        <w:rPr>
          <w:rFonts w:cs="Arial"/>
          <w:sz w:val="24"/>
          <w:szCs w:val="24"/>
        </w:rPr>
        <w:tab/>
        <w:t>If the Association is carrying our any particular projects of remodelling properties consulted with our customers and agreed by our Management Committee.  The Association will ensure existing customers can return or remain in the locality.  However, this may not always be possible particularly when a project is being remodelled with fewer properties than originally. If this is the case the Association will work with customers t</w:t>
      </w:r>
      <w:r w:rsidR="00A21885" w:rsidRPr="000135F7">
        <w:rPr>
          <w:rFonts w:cs="Arial"/>
          <w:sz w:val="24"/>
          <w:szCs w:val="24"/>
        </w:rPr>
        <w:t>o provide options for rehousing.</w:t>
      </w:r>
    </w:p>
    <w:p w:rsidR="00E5383A" w:rsidRDefault="00367E04" w:rsidP="00A21885">
      <w:pPr>
        <w:pStyle w:val="Heading1"/>
      </w:pPr>
      <w:bookmarkStart w:id="2" w:name="_Toc129768188"/>
      <w:r>
        <w:t>3.</w:t>
      </w:r>
      <w:r>
        <w:tab/>
      </w:r>
      <w:r w:rsidR="00E5383A">
        <w:t>Definitions</w:t>
      </w:r>
      <w:bookmarkEnd w:id="2"/>
      <w:r w:rsidR="00E5383A">
        <w:t xml:space="preserve"> </w:t>
      </w:r>
    </w:p>
    <w:p w:rsidR="00A21885" w:rsidRPr="00A21885" w:rsidRDefault="00A21885" w:rsidP="00A21885"/>
    <w:p w:rsidR="00E5383A" w:rsidRPr="00A21885" w:rsidRDefault="00E5383A" w:rsidP="00E5383A">
      <w:pPr>
        <w:rPr>
          <w:rFonts w:cs="Arial"/>
          <w:sz w:val="24"/>
          <w:szCs w:val="24"/>
        </w:rPr>
      </w:pPr>
      <w:r w:rsidRPr="00A21885">
        <w:rPr>
          <w:rFonts w:cs="Arial"/>
          <w:sz w:val="24"/>
          <w:szCs w:val="24"/>
        </w:rPr>
        <w:t>3.1</w:t>
      </w:r>
      <w:r w:rsidRPr="00A21885">
        <w:rPr>
          <w:rFonts w:cs="Arial"/>
          <w:sz w:val="24"/>
          <w:szCs w:val="24"/>
        </w:rPr>
        <w:tab/>
      </w:r>
      <w:r w:rsidRPr="00A21885">
        <w:rPr>
          <w:rFonts w:cs="Arial"/>
          <w:b/>
          <w:sz w:val="24"/>
          <w:szCs w:val="24"/>
        </w:rPr>
        <w:t>Decanting</w:t>
      </w:r>
      <w:r w:rsidRPr="00A21885">
        <w:rPr>
          <w:rFonts w:cs="Arial"/>
          <w:sz w:val="24"/>
          <w:szCs w:val="24"/>
        </w:rPr>
        <w:t xml:space="preserve"> </w:t>
      </w:r>
    </w:p>
    <w:p w:rsidR="00E5383A" w:rsidRPr="005D5897" w:rsidRDefault="00254361" w:rsidP="005D5897">
      <w:pPr>
        <w:pStyle w:val="ListParagraph"/>
        <w:numPr>
          <w:ilvl w:val="0"/>
          <w:numId w:val="21"/>
        </w:numPr>
        <w:rPr>
          <w:rFonts w:cs="Arial"/>
          <w:sz w:val="24"/>
          <w:szCs w:val="24"/>
        </w:rPr>
      </w:pPr>
      <w:r w:rsidRPr="005D5897">
        <w:rPr>
          <w:rFonts w:cs="Arial"/>
          <w:sz w:val="24"/>
          <w:szCs w:val="24"/>
        </w:rPr>
        <w:t xml:space="preserve">This is a legal </w:t>
      </w:r>
      <w:r w:rsidR="00297D17" w:rsidRPr="005D5897">
        <w:rPr>
          <w:rFonts w:cs="Arial"/>
          <w:sz w:val="24"/>
          <w:szCs w:val="24"/>
        </w:rPr>
        <w:t>definition</w:t>
      </w:r>
      <w:r w:rsidRPr="005D5897">
        <w:rPr>
          <w:rFonts w:cs="Arial"/>
          <w:sz w:val="24"/>
          <w:szCs w:val="24"/>
        </w:rPr>
        <w:t xml:space="preserve"> used to explain the process where customers are required to move from their homes for repair work or demolition to be undertaken.</w:t>
      </w:r>
    </w:p>
    <w:p w:rsidR="00254361" w:rsidRPr="00A21885" w:rsidRDefault="00254361" w:rsidP="00254361">
      <w:pPr>
        <w:rPr>
          <w:rFonts w:cs="Arial"/>
          <w:sz w:val="24"/>
          <w:szCs w:val="24"/>
        </w:rPr>
      </w:pPr>
      <w:r w:rsidRPr="00A21885">
        <w:rPr>
          <w:rFonts w:cs="Arial"/>
          <w:sz w:val="24"/>
          <w:szCs w:val="24"/>
        </w:rPr>
        <w:lastRenderedPageBreak/>
        <w:t>3.2</w:t>
      </w:r>
      <w:r w:rsidRPr="00A21885">
        <w:rPr>
          <w:rFonts w:cs="Arial"/>
          <w:sz w:val="24"/>
          <w:szCs w:val="24"/>
        </w:rPr>
        <w:tab/>
      </w:r>
      <w:r w:rsidRPr="00A21885">
        <w:rPr>
          <w:rFonts w:cs="Arial"/>
          <w:b/>
          <w:sz w:val="24"/>
          <w:szCs w:val="24"/>
        </w:rPr>
        <w:t>Permanent Decant</w:t>
      </w:r>
    </w:p>
    <w:p w:rsidR="00254361" w:rsidRPr="005D5897" w:rsidRDefault="00254361" w:rsidP="005D5897">
      <w:pPr>
        <w:pStyle w:val="ListParagraph"/>
        <w:numPr>
          <w:ilvl w:val="0"/>
          <w:numId w:val="21"/>
        </w:numPr>
        <w:rPr>
          <w:rFonts w:cs="Arial"/>
          <w:sz w:val="24"/>
          <w:szCs w:val="24"/>
        </w:rPr>
      </w:pPr>
      <w:r w:rsidRPr="005D5897">
        <w:rPr>
          <w:rFonts w:cs="Arial"/>
          <w:sz w:val="24"/>
          <w:szCs w:val="24"/>
        </w:rPr>
        <w:t>This is for circumstances when a customer is moved out of their property and there is no intention to return them to it.  These circumstances would be required to be authorised by a Customer Service Manager.</w:t>
      </w:r>
    </w:p>
    <w:p w:rsidR="00254361" w:rsidRPr="00A21885" w:rsidRDefault="00254361" w:rsidP="00254361">
      <w:pPr>
        <w:rPr>
          <w:rFonts w:cs="Arial"/>
          <w:b/>
          <w:sz w:val="24"/>
          <w:szCs w:val="24"/>
        </w:rPr>
      </w:pPr>
      <w:r w:rsidRPr="00A21885">
        <w:rPr>
          <w:rFonts w:cs="Arial"/>
          <w:sz w:val="24"/>
          <w:szCs w:val="24"/>
        </w:rPr>
        <w:t>3.3</w:t>
      </w:r>
      <w:r w:rsidRPr="00A21885">
        <w:rPr>
          <w:rFonts w:cs="Arial"/>
          <w:sz w:val="24"/>
          <w:szCs w:val="24"/>
        </w:rPr>
        <w:tab/>
      </w:r>
      <w:r w:rsidRPr="00A21885">
        <w:rPr>
          <w:rFonts w:cs="Arial"/>
          <w:b/>
          <w:sz w:val="24"/>
          <w:szCs w:val="24"/>
        </w:rPr>
        <w:t xml:space="preserve">Temporary Decant </w:t>
      </w:r>
    </w:p>
    <w:p w:rsidR="00254361" w:rsidRPr="005D5897" w:rsidRDefault="00254361" w:rsidP="005D5897">
      <w:pPr>
        <w:pStyle w:val="ListParagraph"/>
        <w:numPr>
          <w:ilvl w:val="0"/>
          <w:numId w:val="21"/>
        </w:numPr>
        <w:rPr>
          <w:rFonts w:cs="Arial"/>
          <w:sz w:val="24"/>
          <w:szCs w:val="24"/>
        </w:rPr>
      </w:pPr>
      <w:r w:rsidRPr="005D5897">
        <w:rPr>
          <w:rFonts w:cs="Arial"/>
          <w:sz w:val="24"/>
          <w:szCs w:val="24"/>
        </w:rPr>
        <w:t>This is when a resident is moved out of their property, to enable any major work on the property to be carried out, with the intention of returning them to the property at the earliest opportunity to do so.</w:t>
      </w:r>
    </w:p>
    <w:p w:rsidR="000555B3" w:rsidRPr="00883500" w:rsidRDefault="00367E04" w:rsidP="00883500">
      <w:pPr>
        <w:pStyle w:val="Heading1"/>
      </w:pPr>
      <w:bookmarkStart w:id="3" w:name="_Toc129248706"/>
      <w:bookmarkStart w:id="4" w:name="_Toc129768189"/>
      <w:r>
        <w:t>4.</w:t>
      </w:r>
      <w:r w:rsidR="009F429E" w:rsidRPr="00883500">
        <w:t xml:space="preserve"> </w:t>
      </w:r>
      <w:r w:rsidR="009F429E" w:rsidRPr="00883500">
        <w:tab/>
      </w:r>
      <w:r w:rsidR="00862D60" w:rsidRPr="00883500">
        <w:t>Aims &amp; Objectives</w:t>
      </w:r>
      <w:bookmarkEnd w:id="3"/>
      <w:bookmarkEnd w:id="4"/>
    </w:p>
    <w:p w:rsidR="004074F2" w:rsidRDefault="004074F2" w:rsidP="004074F2">
      <w:pPr>
        <w:spacing w:after="0" w:line="240" w:lineRule="auto"/>
        <w:ind w:left="709" w:hanging="709"/>
        <w:outlineLvl w:val="0"/>
        <w:rPr>
          <w:rFonts w:ascii="Arial" w:hAnsi="Arial" w:cs="Arial"/>
          <w:b/>
          <w:sz w:val="24"/>
          <w:szCs w:val="24"/>
        </w:rPr>
      </w:pPr>
    </w:p>
    <w:p w:rsidR="00862D60" w:rsidRPr="0045622E" w:rsidRDefault="00367E04" w:rsidP="00A21885">
      <w:pPr>
        <w:ind w:left="720" w:hanging="720"/>
        <w:rPr>
          <w:sz w:val="24"/>
          <w:szCs w:val="24"/>
        </w:rPr>
      </w:pPr>
      <w:bookmarkStart w:id="5" w:name="_Toc129248707"/>
      <w:r w:rsidRPr="0045622E">
        <w:rPr>
          <w:sz w:val="24"/>
          <w:szCs w:val="24"/>
        </w:rPr>
        <w:t>4</w:t>
      </w:r>
      <w:r w:rsidR="00862D60" w:rsidRPr="0045622E">
        <w:rPr>
          <w:sz w:val="24"/>
          <w:szCs w:val="24"/>
        </w:rPr>
        <w:t>.1</w:t>
      </w:r>
      <w:r w:rsidR="00862D60" w:rsidRPr="0045622E">
        <w:rPr>
          <w:sz w:val="24"/>
          <w:szCs w:val="24"/>
        </w:rPr>
        <w:tab/>
        <w:t>A crucial piece of the Association’</w:t>
      </w:r>
      <w:r w:rsidR="000D1288" w:rsidRPr="0045622E">
        <w:rPr>
          <w:sz w:val="24"/>
          <w:szCs w:val="24"/>
        </w:rPr>
        <w:t>s documentation is this policy and its</w:t>
      </w:r>
      <w:r w:rsidR="00862D60" w:rsidRPr="0045622E">
        <w:rPr>
          <w:sz w:val="24"/>
          <w:szCs w:val="24"/>
        </w:rPr>
        <w:t xml:space="preserve"> overarching objectives are to;</w:t>
      </w:r>
      <w:bookmarkEnd w:id="5"/>
    </w:p>
    <w:p w:rsidR="00862D60" w:rsidRPr="005D5897" w:rsidRDefault="002C0E35" w:rsidP="005D5897">
      <w:pPr>
        <w:pStyle w:val="ListParagraph"/>
        <w:numPr>
          <w:ilvl w:val="0"/>
          <w:numId w:val="21"/>
        </w:numPr>
        <w:spacing w:after="0" w:line="240" w:lineRule="auto"/>
        <w:outlineLvl w:val="0"/>
        <w:rPr>
          <w:rFonts w:cs="Arial"/>
          <w:sz w:val="24"/>
          <w:szCs w:val="24"/>
        </w:rPr>
      </w:pPr>
      <w:bookmarkStart w:id="6" w:name="_Toc129248708"/>
      <w:bookmarkStart w:id="7" w:name="_Toc129768190"/>
      <w:r w:rsidRPr="005D5897">
        <w:rPr>
          <w:rFonts w:cs="Arial"/>
          <w:sz w:val="24"/>
          <w:szCs w:val="24"/>
        </w:rPr>
        <w:t>E</w:t>
      </w:r>
      <w:r w:rsidR="000D1288" w:rsidRPr="005D5897">
        <w:rPr>
          <w:rFonts w:cs="Arial"/>
          <w:sz w:val="24"/>
          <w:szCs w:val="24"/>
        </w:rPr>
        <w:t>fficiently</w:t>
      </w:r>
      <w:r w:rsidR="00862D60" w:rsidRPr="005D5897">
        <w:rPr>
          <w:rFonts w:cs="Arial"/>
          <w:sz w:val="24"/>
          <w:szCs w:val="24"/>
        </w:rPr>
        <w:t xml:space="preserve"> and with interest of the customer in mind, manage </w:t>
      </w:r>
      <w:r w:rsidR="000B3262">
        <w:rPr>
          <w:rFonts w:cs="Arial"/>
          <w:sz w:val="24"/>
          <w:szCs w:val="24"/>
        </w:rPr>
        <w:t>D</w:t>
      </w:r>
      <w:r w:rsidR="000D1288" w:rsidRPr="005D5897">
        <w:rPr>
          <w:rFonts w:cs="Arial"/>
          <w:sz w:val="24"/>
          <w:szCs w:val="24"/>
        </w:rPr>
        <w:t>ecant proceedings, providin</w:t>
      </w:r>
      <w:r w:rsidRPr="005D5897">
        <w:rPr>
          <w:rFonts w:cs="Arial"/>
          <w:sz w:val="24"/>
          <w:szCs w:val="24"/>
        </w:rPr>
        <w:t>g clear guidance on the process</w:t>
      </w:r>
      <w:r w:rsidR="000D1288" w:rsidRPr="005D5897">
        <w:rPr>
          <w:rFonts w:cs="Arial"/>
          <w:sz w:val="24"/>
          <w:szCs w:val="24"/>
        </w:rPr>
        <w:t>.</w:t>
      </w:r>
      <w:bookmarkEnd w:id="6"/>
      <w:bookmarkEnd w:id="7"/>
    </w:p>
    <w:p w:rsidR="000D1288" w:rsidRPr="00A21885" w:rsidRDefault="000D1288" w:rsidP="000D1288">
      <w:pPr>
        <w:spacing w:after="0" w:line="240" w:lineRule="auto"/>
        <w:outlineLvl w:val="0"/>
        <w:rPr>
          <w:rFonts w:cs="Arial"/>
          <w:sz w:val="24"/>
          <w:szCs w:val="24"/>
        </w:rPr>
      </w:pPr>
    </w:p>
    <w:p w:rsidR="000D1288" w:rsidRPr="005D5897" w:rsidRDefault="002C0E35" w:rsidP="005D5897">
      <w:pPr>
        <w:pStyle w:val="ListParagraph"/>
        <w:numPr>
          <w:ilvl w:val="0"/>
          <w:numId w:val="21"/>
        </w:numPr>
        <w:spacing w:after="0" w:line="240" w:lineRule="auto"/>
        <w:outlineLvl w:val="0"/>
        <w:rPr>
          <w:rFonts w:cs="Arial"/>
          <w:sz w:val="24"/>
          <w:szCs w:val="24"/>
        </w:rPr>
      </w:pPr>
      <w:bookmarkStart w:id="8" w:name="_Toc129248709"/>
      <w:bookmarkStart w:id="9" w:name="_Toc129768191"/>
      <w:r w:rsidRPr="005D5897">
        <w:rPr>
          <w:rFonts w:cs="Arial"/>
          <w:sz w:val="24"/>
          <w:szCs w:val="24"/>
        </w:rPr>
        <w:t>M</w:t>
      </w:r>
      <w:r w:rsidR="000B3262">
        <w:rPr>
          <w:rFonts w:cs="Arial"/>
          <w:sz w:val="24"/>
          <w:szCs w:val="24"/>
        </w:rPr>
        <w:t>ake sure that any D</w:t>
      </w:r>
      <w:r w:rsidR="000D1288" w:rsidRPr="005D5897">
        <w:rPr>
          <w:rFonts w:cs="Arial"/>
          <w:sz w:val="24"/>
          <w:szCs w:val="24"/>
        </w:rPr>
        <w:t>ecants are handled in accordance with the Tenancy Agreement's legal requirements and contractual terms.</w:t>
      </w:r>
      <w:bookmarkEnd w:id="8"/>
      <w:bookmarkEnd w:id="9"/>
    </w:p>
    <w:p w:rsidR="000D1288" w:rsidRPr="000D1288" w:rsidRDefault="000D1288" w:rsidP="000D1288">
      <w:pPr>
        <w:spacing w:after="0" w:line="240" w:lineRule="auto"/>
        <w:outlineLvl w:val="0"/>
        <w:rPr>
          <w:rFonts w:ascii="Arial" w:hAnsi="Arial" w:cs="Arial"/>
          <w:sz w:val="24"/>
          <w:szCs w:val="24"/>
        </w:rPr>
      </w:pPr>
    </w:p>
    <w:p w:rsidR="000D1288" w:rsidRPr="005D5897" w:rsidRDefault="002C0E35" w:rsidP="005D5897">
      <w:pPr>
        <w:pStyle w:val="ListParagraph"/>
        <w:numPr>
          <w:ilvl w:val="0"/>
          <w:numId w:val="21"/>
        </w:numPr>
        <w:spacing w:after="0" w:line="240" w:lineRule="auto"/>
        <w:outlineLvl w:val="0"/>
        <w:rPr>
          <w:rFonts w:cs="Arial"/>
          <w:sz w:val="24"/>
          <w:szCs w:val="24"/>
        </w:rPr>
      </w:pPr>
      <w:bookmarkStart w:id="10" w:name="_Toc129248710"/>
      <w:bookmarkStart w:id="11" w:name="_Toc129768192"/>
      <w:r w:rsidRPr="005D5897">
        <w:rPr>
          <w:rFonts w:cs="Arial"/>
          <w:sz w:val="24"/>
          <w:szCs w:val="24"/>
        </w:rPr>
        <w:t>E</w:t>
      </w:r>
      <w:r w:rsidR="000D1288" w:rsidRPr="005D5897">
        <w:rPr>
          <w:rFonts w:cs="Arial"/>
          <w:sz w:val="24"/>
          <w:szCs w:val="24"/>
        </w:rPr>
        <w:t xml:space="preserve">nsure the procedure is managed well and to cause the least amount of interruption possible to the </w:t>
      </w:r>
      <w:r w:rsidR="000B3262">
        <w:rPr>
          <w:rFonts w:cs="Arial"/>
          <w:sz w:val="24"/>
          <w:szCs w:val="24"/>
        </w:rPr>
        <w:t>household being D</w:t>
      </w:r>
      <w:r w:rsidR="000D1288" w:rsidRPr="005D5897">
        <w:rPr>
          <w:rFonts w:cs="Arial"/>
          <w:sz w:val="24"/>
          <w:szCs w:val="24"/>
        </w:rPr>
        <w:t>ecanted.</w:t>
      </w:r>
      <w:bookmarkEnd w:id="10"/>
      <w:bookmarkEnd w:id="11"/>
    </w:p>
    <w:p w:rsidR="000D1288" w:rsidRPr="00A21885" w:rsidRDefault="000D1288" w:rsidP="000D1288">
      <w:pPr>
        <w:pStyle w:val="ListParagraph"/>
        <w:spacing w:after="0" w:line="240" w:lineRule="auto"/>
        <w:outlineLvl w:val="0"/>
        <w:rPr>
          <w:rFonts w:cs="Arial"/>
          <w:sz w:val="24"/>
          <w:szCs w:val="24"/>
        </w:rPr>
      </w:pPr>
    </w:p>
    <w:p w:rsidR="000D1288" w:rsidRPr="005D5897" w:rsidRDefault="002C0E35" w:rsidP="005D5897">
      <w:pPr>
        <w:pStyle w:val="ListParagraph"/>
        <w:numPr>
          <w:ilvl w:val="0"/>
          <w:numId w:val="21"/>
        </w:numPr>
        <w:spacing w:after="0" w:line="240" w:lineRule="auto"/>
        <w:outlineLvl w:val="0"/>
        <w:rPr>
          <w:rFonts w:cs="Arial"/>
          <w:sz w:val="24"/>
          <w:szCs w:val="24"/>
        </w:rPr>
      </w:pPr>
      <w:bookmarkStart w:id="12" w:name="_Toc129248711"/>
      <w:bookmarkStart w:id="13" w:name="_Toc129768193"/>
      <w:r w:rsidRPr="005D5897">
        <w:rPr>
          <w:rFonts w:cs="Arial"/>
          <w:sz w:val="24"/>
          <w:szCs w:val="24"/>
        </w:rPr>
        <w:t>O</w:t>
      </w:r>
      <w:r w:rsidR="000B3262">
        <w:rPr>
          <w:rFonts w:cs="Arial"/>
          <w:sz w:val="24"/>
          <w:szCs w:val="24"/>
        </w:rPr>
        <w:t>ffer a D</w:t>
      </w:r>
      <w:r w:rsidR="000D1288" w:rsidRPr="005D5897">
        <w:rPr>
          <w:rFonts w:cs="Arial"/>
          <w:sz w:val="24"/>
          <w:szCs w:val="24"/>
        </w:rPr>
        <w:t xml:space="preserve">ecant </w:t>
      </w:r>
      <w:r w:rsidR="00EC0ABB" w:rsidRPr="005D5897">
        <w:rPr>
          <w:rFonts w:cs="Arial"/>
          <w:sz w:val="24"/>
          <w:szCs w:val="24"/>
        </w:rPr>
        <w:t>property that</w:t>
      </w:r>
      <w:r w:rsidR="000D1288" w:rsidRPr="005D5897">
        <w:rPr>
          <w:rFonts w:cs="Arial"/>
          <w:sz w:val="24"/>
          <w:szCs w:val="24"/>
        </w:rPr>
        <w:t>, to the extent possible, satisfies the demands of the current household and</w:t>
      </w:r>
      <w:r w:rsidR="00EB40F0" w:rsidRPr="005D5897">
        <w:rPr>
          <w:rFonts w:cs="Arial"/>
          <w:sz w:val="24"/>
          <w:szCs w:val="24"/>
        </w:rPr>
        <w:t xml:space="preserve"> </w:t>
      </w:r>
      <w:r w:rsidR="000D1288" w:rsidRPr="005D5897">
        <w:rPr>
          <w:rFonts w:cs="Arial"/>
          <w:sz w:val="24"/>
          <w:szCs w:val="24"/>
        </w:rPr>
        <w:t>its medical requirements</w:t>
      </w:r>
      <w:r w:rsidR="00EB40F0" w:rsidRPr="005D5897">
        <w:rPr>
          <w:rFonts w:cs="Arial"/>
          <w:sz w:val="24"/>
          <w:szCs w:val="24"/>
        </w:rPr>
        <w:t xml:space="preserve"> if required</w:t>
      </w:r>
      <w:r w:rsidR="000D1288" w:rsidRPr="005D5897">
        <w:rPr>
          <w:rFonts w:cs="Arial"/>
          <w:sz w:val="24"/>
          <w:szCs w:val="24"/>
        </w:rPr>
        <w:t>.</w:t>
      </w:r>
      <w:bookmarkEnd w:id="12"/>
      <w:bookmarkEnd w:id="13"/>
    </w:p>
    <w:p w:rsidR="002C0E35" w:rsidRPr="00A21885" w:rsidRDefault="002C0E35" w:rsidP="002C0E35">
      <w:pPr>
        <w:pStyle w:val="ListParagraph"/>
        <w:rPr>
          <w:rFonts w:cs="Arial"/>
          <w:sz w:val="24"/>
          <w:szCs w:val="24"/>
        </w:rPr>
      </w:pPr>
    </w:p>
    <w:p w:rsidR="002C0E35" w:rsidRPr="005D5897" w:rsidRDefault="002C0E35" w:rsidP="005D5897">
      <w:pPr>
        <w:pStyle w:val="ListParagraph"/>
        <w:numPr>
          <w:ilvl w:val="0"/>
          <w:numId w:val="21"/>
        </w:numPr>
        <w:spacing w:after="0" w:line="240" w:lineRule="auto"/>
        <w:outlineLvl w:val="0"/>
        <w:rPr>
          <w:rFonts w:cs="Arial"/>
          <w:sz w:val="24"/>
          <w:szCs w:val="24"/>
        </w:rPr>
      </w:pPr>
      <w:bookmarkStart w:id="14" w:name="_Toc129248712"/>
      <w:bookmarkStart w:id="15" w:name="_Toc129768194"/>
      <w:r w:rsidRPr="005D5897">
        <w:rPr>
          <w:rFonts w:cs="Arial"/>
          <w:sz w:val="24"/>
          <w:szCs w:val="24"/>
        </w:rPr>
        <w:t xml:space="preserve">Minimise the period of time for which a customer </w:t>
      </w:r>
      <w:r w:rsidR="008F6515" w:rsidRPr="005D5897">
        <w:rPr>
          <w:rFonts w:cs="Arial"/>
          <w:sz w:val="24"/>
          <w:szCs w:val="24"/>
        </w:rPr>
        <w:t>is decanted from their home, returning them as soon as practically possible.</w:t>
      </w:r>
      <w:bookmarkEnd w:id="14"/>
      <w:bookmarkEnd w:id="15"/>
    </w:p>
    <w:p w:rsidR="00EB40F0" w:rsidRPr="00A21885" w:rsidRDefault="00EB40F0" w:rsidP="00EB40F0">
      <w:pPr>
        <w:pStyle w:val="ListParagraph"/>
        <w:rPr>
          <w:rFonts w:cs="Arial"/>
          <w:sz w:val="24"/>
          <w:szCs w:val="24"/>
        </w:rPr>
      </w:pPr>
    </w:p>
    <w:p w:rsidR="00EB40F0" w:rsidRPr="005D5897" w:rsidRDefault="00EB40F0" w:rsidP="005D5897">
      <w:pPr>
        <w:pStyle w:val="ListParagraph"/>
        <w:numPr>
          <w:ilvl w:val="0"/>
          <w:numId w:val="21"/>
        </w:numPr>
        <w:spacing w:after="0" w:line="240" w:lineRule="auto"/>
        <w:outlineLvl w:val="0"/>
        <w:rPr>
          <w:rFonts w:cs="Arial"/>
          <w:sz w:val="24"/>
          <w:szCs w:val="24"/>
        </w:rPr>
      </w:pPr>
      <w:bookmarkStart w:id="16" w:name="_Toc129248713"/>
      <w:bookmarkStart w:id="17" w:name="_Toc129768195"/>
      <w:r w:rsidRPr="005D5897">
        <w:rPr>
          <w:rFonts w:cs="Arial"/>
          <w:sz w:val="24"/>
          <w:szCs w:val="24"/>
        </w:rPr>
        <w:t>Provide the Association with the best value possible while avoiding burdening the tenant with irrational or needless costs or inconveniences.</w:t>
      </w:r>
      <w:bookmarkEnd w:id="16"/>
      <w:bookmarkEnd w:id="17"/>
    </w:p>
    <w:p w:rsidR="008F6515" w:rsidRPr="00A21885" w:rsidRDefault="008F6515" w:rsidP="008F6515">
      <w:pPr>
        <w:pStyle w:val="ListParagraph"/>
        <w:rPr>
          <w:rFonts w:cs="Arial"/>
          <w:sz w:val="24"/>
          <w:szCs w:val="24"/>
        </w:rPr>
      </w:pPr>
    </w:p>
    <w:p w:rsidR="008F6515" w:rsidRPr="005D5897" w:rsidRDefault="008F6515" w:rsidP="005D5897">
      <w:pPr>
        <w:pStyle w:val="ListParagraph"/>
        <w:numPr>
          <w:ilvl w:val="0"/>
          <w:numId w:val="21"/>
        </w:numPr>
        <w:spacing w:after="0" w:line="240" w:lineRule="auto"/>
        <w:outlineLvl w:val="0"/>
        <w:rPr>
          <w:rFonts w:cs="Arial"/>
          <w:sz w:val="24"/>
          <w:szCs w:val="24"/>
        </w:rPr>
      </w:pPr>
      <w:bookmarkStart w:id="18" w:name="_Toc129248714"/>
      <w:bookmarkStart w:id="19" w:name="_Toc129768196"/>
      <w:r w:rsidRPr="005D5897">
        <w:rPr>
          <w:rFonts w:cs="Arial"/>
          <w:sz w:val="24"/>
          <w:szCs w:val="24"/>
        </w:rPr>
        <w:t>Maximise customer satisfaction with the process of Decant and return to their home.</w:t>
      </w:r>
      <w:bookmarkEnd w:id="18"/>
      <w:bookmarkEnd w:id="19"/>
    </w:p>
    <w:p w:rsidR="000D1288" w:rsidRPr="00A21885" w:rsidRDefault="000D1288" w:rsidP="000D1288">
      <w:pPr>
        <w:pStyle w:val="ListParagraph"/>
        <w:spacing w:after="0" w:line="240" w:lineRule="auto"/>
        <w:outlineLvl w:val="0"/>
        <w:rPr>
          <w:rFonts w:cs="Arial"/>
          <w:sz w:val="24"/>
          <w:szCs w:val="24"/>
        </w:rPr>
      </w:pPr>
    </w:p>
    <w:p w:rsidR="000D1288" w:rsidRPr="005D5897" w:rsidRDefault="000D1288" w:rsidP="005D5897">
      <w:pPr>
        <w:pStyle w:val="ListParagraph"/>
        <w:numPr>
          <w:ilvl w:val="0"/>
          <w:numId w:val="21"/>
        </w:numPr>
        <w:spacing w:after="0" w:line="240" w:lineRule="auto"/>
        <w:outlineLvl w:val="0"/>
        <w:rPr>
          <w:rFonts w:cs="Arial"/>
          <w:sz w:val="24"/>
          <w:szCs w:val="24"/>
        </w:rPr>
      </w:pPr>
      <w:bookmarkStart w:id="20" w:name="_Toc129248715"/>
      <w:bookmarkStart w:id="21" w:name="_Toc129768197"/>
      <w:r w:rsidRPr="005D5897">
        <w:rPr>
          <w:rFonts w:cs="Arial"/>
          <w:sz w:val="24"/>
          <w:szCs w:val="24"/>
        </w:rPr>
        <w:t>For th</w:t>
      </w:r>
      <w:r w:rsidR="000B3262">
        <w:rPr>
          <w:rFonts w:cs="Arial"/>
          <w:sz w:val="24"/>
          <w:szCs w:val="24"/>
        </w:rPr>
        <w:t>e purpose of ensuring that any D</w:t>
      </w:r>
      <w:r w:rsidRPr="005D5897">
        <w:rPr>
          <w:rFonts w:cs="Arial"/>
          <w:sz w:val="24"/>
          <w:szCs w:val="24"/>
        </w:rPr>
        <w:t xml:space="preserve">ecants are </w:t>
      </w:r>
      <w:r w:rsidR="00A80FF1">
        <w:rPr>
          <w:rFonts w:cs="Arial"/>
          <w:sz w:val="24"/>
          <w:szCs w:val="24"/>
        </w:rPr>
        <w:t>handled in compliance with our Equality and D</w:t>
      </w:r>
      <w:r w:rsidRPr="005D5897">
        <w:rPr>
          <w:rFonts w:cs="Arial"/>
          <w:sz w:val="24"/>
          <w:szCs w:val="24"/>
        </w:rPr>
        <w:t>iversity policy.</w:t>
      </w:r>
      <w:bookmarkEnd w:id="20"/>
      <w:bookmarkEnd w:id="21"/>
    </w:p>
    <w:p w:rsidR="008F6515" w:rsidRPr="00A21885" w:rsidRDefault="008F6515" w:rsidP="008F6515">
      <w:pPr>
        <w:pStyle w:val="ListParagraph"/>
        <w:rPr>
          <w:rFonts w:cs="Arial"/>
          <w:sz w:val="24"/>
          <w:szCs w:val="24"/>
        </w:rPr>
      </w:pPr>
    </w:p>
    <w:p w:rsidR="00D63905" w:rsidRDefault="000B3262" w:rsidP="000B3262">
      <w:pPr>
        <w:pStyle w:val="ListParagraph"/>
        <w:numPr>
          <w:ilvl w:val="0"/>
          <w:numId w:val="21"/>
        </w:numPr>
        <w:spacing w:after="0" w:line="240" w:lineRule="auto"/>
        <w:outlineLvl w:val="0"/>
        <w:rPr>
          <w:rFonts w:cs="Arial"/>
          <w:sz w:val="24"/>
          <w:szCs w:val="24"/>
        </w:rPr>
      </w:pPr>
      <w:bookmarkStart w:id="22" w:name="_Toc129248716"/>
      <w:bookmarkStart w:id="23" w:name="_Toc129768198"/>
      <w:r>
        <w:rPr>
          <w:rFonts w:cs="Arial"/>
          <w:sz w:val="24"/>
          <w:szCs w:val="24"/>
        </w:rPr>
        <w:t>Minimise D</w:t>
      </w:r>
      <w:r w:rsidR="008F6515" w:rsidRPr="005D5897">
        <w:rPr>
          <w:rFonts w:cs="Arial"/>
          <w:sz w:val="24"/>
          <w:szCs w:val="24"/>
        </w:rPr>
        <w:t>ecanting cost to the Association where possible.</w:t>
      </w:r>
      <w:bookmarkEnd w:id="22"/>
      <w:bookmarkEnd w:id="23"/>
    </w:p>
    <w:p w:rsidR="000B3262" w:rsidRPr="000B3262" w:rsidRDefault="000B3262" w:rsidP="000B3262">
      <w:pPr>
        <w:spacing w:after="0" w:line="240" w:lineRule="auto"/>
        <w:outlineLvl w:val="0"/>
        <w:rPr>
          <w:rFonts w:cs="Arial"/>
          <w:sz w:val="24"/>
          <w:szCs w:val="24"/>
        </w:rPr>
      </w:pPr>
    </w:p>
    <w:p w:rsidR="00D63905" w:rsidRPr="005D5897" w:rsidRDefault="00D63905" w:rsidP="005D5897">
      <w:pPr>
        <w:pStyle w:val="ListParagraph"/>
        <w:numPr>
          <w:ilvl w:val="0"/>
          <w:numId w:val="21"/>
        </w:numPr>
        <w:spacing w:after="0" w:line="240" w:lineRule="auto"/>
        <w:outlineLvl w:val="0"/>
        <w:rPr>
          <w:rFonts w:cs="Arial"/>
          <w:sz w:val="24"/>
          <w:szCs w:val="24"/>
        </w:rPr>
      </w:pPr>
      <w:bookmarkStart w:id="24" w:name="_Toc129248718"/>
      <w:bookmarkStart w:id="25" w:name="_Toc129768199"/>
      <w:r w:rsidRPr="005D5897">
        <w:rPr>
          <w:rFonts w:cs="Arial"/>
          <w:sz w:val="24"/>
          <w:szCs w:val="24"/>
        </w:rPr>
        <w:t>Fairness in the calcul</w:t>
      </w:r>
      <w:r w:rsidR="00A80FF1">
        <w:rPr>
          <w:rFonts w:cs="Arial"/>
          <w:sz w:val="24"/>
          <w:szCs w:val="24"/>
        </w:rPr>
        <w:t>ation of amount due to customers</w:t>
      </w:r>
      <w:r w:rsidRPr="005D5897">
        <w:rPr>
          <w:rFonts w:cs="Arial"/>
          <w:sz w:val="24"/>
          <w:szCs w:val="24"/>
        </w:rPr>
        <w:t xml:space="preserve"> if not determined by statute, using a fair and </w:t>
      </w:r>
      <w:r w:rsidR="00A418EC" w:rsidRPr="005D5897">
        <w:rPr>
          <w:rFonts w:cs="Arial"/>
          <w:sz w:val="24"/>
          <w:szCs w:val="24"/>
        </w:rPr>
        <w:t>consistent</w:t>
      </w:r>
      <w:r w:rsidRPr="005D5897">
        <w:rPr>
          <w:rFonts w:cs="Arial"/>
          <w:sz w:val="24"/>
          <w:szCs w:val="24"/>
        </w:rPr>
        <w:t xml:space="preserve"> basis for the assessment of the loss or cost incurred.</w:t>
      </w:r>
      <w:bookmarkEnd w:id="24"/>
      <w:bookmarkEnd w:id="25"/>
    </w:p>
    <w:p w:rsidR="00D63905" w:rsidRPr="00A21885" w:rsidRDefault="00D63905" w:rsidP="00D63905">
      <w:pPr>
        <w:pStyle w:val="ListParagraph"/>
        <w:rPr>
          <w:rFonts w:cs="Arial"/>
          <w:sz w:val="24"/>
          <w:szCs w:val="24"/>
        </w:rPr>
      </w:pPr>
    </w:p>
    <w:p w:rsidR="00D63905" w:rsidRPr="005D5897" w:rsidRDefault="00D63905" w:rsidP="005D5897">
      <w:pPr>
        <w:pStyle w:val="ListParagraph"/>
        <w:numPr>
          <w:ilvl w:val="0"/>
          <w:numId w:val="21"/>
        </w:numPr>
        <w:spacing w:after="0" w:line="240" w:lineRule="auto"/>
        <w:outlineLvl w:val="0"/>
        <w:rPr>
          <w:rFonts w:cs="Arial"/>
          <w:sz w:val="24"/>
          <w:szCs w:val="24"/>
        </w:rPr>
      </w:pPr>
      <w:bookmarkStart w:id="26" w:name="_Toc129248719"/>
      <w:bookmarkStart w:id="27" w:name="_Toc129768200"/>
      <w:r w:rsidRPr="005D5897">
        <w:rPr>
          <w:rFonts w:cs="Arial"/>
          <w:sz w:val="24"/>
          <w:szCs w:val="24"/>
        </w:rPr>
        <w:lastRenderedPageBreak/>
        <w:t xml:space="preserve">Make </w:t>
      </w:r>
      <w:r w:rsidR="00A80FF1">
        <w:rPr>
          <w:rFonts w:cs="Arial"/>
          <w:sz w:val="24"/>
          <w:szCs w:val="24"/>
        </w:rPr>
        <w:t>reasonable payments to customers</w:t>
      </w:r>
      <w:r w:rsidRPr="005D5897">
        <w:rPr>
          <w:rFonts w:cs="Arial"/>
          <w:sz w:val="24"/>
          <w:szCs w:val="24"/>
        </w:rPr>
        <w:t xml:space="preserve"> who are being </w:t>
      </w:r>
      <w:r w:rsidR="00A418EC" w:rsidRPr="005D5897">
        <w:rPr>
          <w:rFonts w:cs="Arial"/>
          <w:sz w:val="24"/>
          <w:szCs w:val="24"/>
        </w:rPr>
        <w:t>compelled</w:t>
      </w:r>
      <w:r w:rsidRPr="005D5897">
        <w:rPr>
          <w:rFonts w:cs="Arial"/>
          <w:sz w:val="24"/>
          <w:szCs w:val="24"/>
        </w:rPr>
        <w:t xml:space="preserve"> to move.</w:t>
      </w:r>
      <w:bookmarkEnd w:id="26"/>
      <w:bookmarkEnd w:id="27"/>
      <w:r w:rsidR="00066F39" w:rsidRPr="005D5897">
        <w:rPr>
          <w:rFonts w:cs="Arial"/>
          <w:sz w:val="24"/>
          <w:szCs w:val="24"/>
        </w:rPr>
        <w:t xml:space="preserve"> </w:t>
      </w:r>
    </w:p>
    <w:p w:rsidR="00D63905" w:rsidRPr="00A21885" w:rsidRDefault="00D63905" w:rsidP="00D63905">
      <w:pPr>
        <w:pStyle w:val="ListParagraph"/>
        <w:rPr>
          <w:rFonts w:cs="Arial"/>
          <w:sz w:val="24"/>
          <w:szCs w:val="24"/>
        </w:rPr>
      </w:pPr>
    </w:p>
    <w:p w:rsidR="00D63905" w:rsidRPr="005D5897" w:rsidRDefault="00D63905" w:rsidP="005D5897">
      <w:pPr>
        <w:pStyle w:val="ListParagraph"/>
        <w:numPr>
          <w:ilvl w:val="0"/>
          <w:numId w:val="21"/>
        </w:numPr>
        <w:spacing w:after="0" w:line="240" w:lineRule="auto"/>
        <w:outlineLvl w:val="0"/>
        <w:rPr>
          <w:rFonts w:cs="Arial"/>
          <w:sz w:val="24"/>
          <w:szCs w:val="24"/>
        </w:rPr>
      </w:pPr>
      <w:bookmarkStart w:id="28" w:name="_Toc129248720"/>
      <w:bookmarkStart w:id="29" w:name="_Toc129768201"/>
      <w:r w:rsidRPr="005D5897">
        <w:rPr>
          <w:rFonts w:cs="Arial"/>
          <w:sz w:val="24"/>
          <w:szCs w:val="24"/>
        </w:rPr>
        <w:t>Providing assistance to customers who are required to move and managing arranging the move in a responsible manner.</w:t>
      </w:r>
      <w:bookmarkEnd w:id="28"/>
      <w:bookmarkEnd w:id="29"/>
    </w:p>
    <w:p w:rsidR="00D63905" w:rsidRPr="00A21885" w:rsidRDefault="00D63905" w:rsidP="00D63905">
      <w:pPr>
        <w:pStyle w:val="ListParagraph"/>
        <w:rPr>
          <w:rFonts w:cs="Arial"/>
          <w:sz w:val="24"/>
          <w:szCs w:val="24"/>
        </w:rPr>
      </w:pPr>
    </w:p>
    <w:p w:rsidR="00D63905" w:rsidRPr="00DA70E7" w:rsidRDefault="00A418EC" w:rsidP="005D5897">
      <w:pPr>
        <w:pStyle w:val="ListParagraph"/>
        <w:numPr>
          <w:ilvl w:val="0"/>
          <w:numId w:val="21"/>
        </w:numPr>
        <w:spacing w:after="0" w:line="240" w:lineRule="auto"/>
        <w:outlineLvl w:val="0"/>
        <w:rPr>
          <w:rFonts w:cs="Arial"/>
          <w:sz w:val="24"/>
          <w:szCs w:val="24"/>
        </w:rPr>
      </w:pPr>
      <w:bookmarkStart w:id="30" w:name="_Toc129248721"/>
      <w:bookmarkStart w:id="31" w:name="_Toc129768202"/>
      <w:r w:rsidRPr="00DA70E7">
        <w:rPr>
          <w:rFonts w:cs="Arial"/>
          <w:sz w:val="24"/>
          <w:szCs w:val="24"/>
        </w:rPr>
        <w:t>Prompt</w:t>
      </w:r>
      <w:r w:rsidR="002E7601" w:rsidRPr="00DA70E7">
        <w:rPr>
          <w:rFonts w:cs="Arial"/>
          <w:sz w:val="24"/>
          <w:szCs w:val="24"/>
        </w:rPr>
        <w:t xml:space="preserve"> payment of compensation to</w:t>
      </w:r>
      <w:r w:rsidR="00D63905" w:rsidRPr="00DA70E7">
        <w:rPr>
          <w:rFonts w:cs="Arial"/>
          <w:sz w:val="24"/>
          <w:szCs w:val="24"/>
        </w:rPr>
        <w:t xml:space="preserve"> customers with </w:t>
      </w:r>
      <w:r w:rsidR="002E7601" w:rsidRPr="00DA70E7">
        <w:rPr>
          <w:rFonts w:cs="Arial"/>
          <w:sz w:val="24"/>
          <w:szCs w:val="24"/>
        </w:rPr>
        <w:t xml:space="preserve">the cost for any </w:t>
      </w:r>
      <w:r w:rsidR="00D63905" w:rsidRPr="00DA70E7">
        <w:rPr>
          <w:rFonts w:cs="Arial"/>
          <w:sz w:val="24"/>
          <w:szCs w:val="24"/>
        </w:rPr>
        <w:t xml:space="preserve">removal service </w:t>
      </w:r>
      <w:r w:rsidR="000B3262">
        <w:rPr>
          <w:rFonts w:cs="Arial"/>
          <w:sz w:val="24"/>
          <w:szCs w:val="24"/>
        </w:rPr>
        <w:t>to the D</w:t>
      </w:r>
      <w:r w:rsidR="002E7601" w:rsidRPr="00DA70E7">
        <w:rPr>
          <w:rFonts w:cs="Arial"/>
          <w:sz w:val="24"/>
          <w:szCs w:val="24"/>
        </w:rPr>
        <w:t>ecant Accommodation.</w:t>
      </w:r>
      <w:bookmarkEnd w:id="30"/>
      <w:bookmarkEnd w:id="31"/>
    </w:p>
    <w:p w:rsidR="002E7601" w:rsidRPr="00DA70E7" w:rsidRDefault="002E7601" w:rsidP="002E7601">
      <w:pPr>
        <w:pStyle w:val="ListParagraph"/>
        <w:rPr>
          <w:rFonts w:cs="Arial"/>
          <w:sz w:val="24"/>
          <w:szCs w:val="24"/>
        </w:rPr>
      </w:pPr>
    </w:p>
    <w:p w:rsidR="00862D60" w:rsidRPr="00DA70E7" w:rsidRDefault="002E7601" w:rsidP="005D5897">
      <w:pPr>
        <w:pStyle w:val="ListParagraph"/>
        <w:numPr>
          <w:ilvl w:val="0"/>
          <w:numId w:val="21"/>
        </w:numPr>
        <w:spacing w:after="0" w:line="240" w:lineRule="auto"/>
        <w:outlineLvl w:val="0"/>
        <w:rPr>
          <w:rFonts w:cs="Arial"/>
          <w:color w:val="000000" w:themeColor="text1"/>
          <w:sz w:val="24"/>
          <w:szCs w:val="24"/>
        </w:rPr>
      </w:pPr>
      <w:bookmarkStart w:id="32" w:name="_Toc129248722"/>
      <w:bookmarkStart w:id="33" w:name="_Toc129768203"/>
      <w:r w:rsidRPr="00DA70E7">
        <w:rPr>
          <w:rFonts w:cs="Arial"/>
          <w:color w:val="000000" w:themeColor="text1"/>
          <w:sz w:val="24"/>
          <w:szCs w:val="24"/>
        </w:rPr>
        <w:t>In situations where there is clear evidence of financial hardship caused b</w:t>
      </w:r>
      <w:r w:rsidR="00A80FF1">
        <w:rPr>
          <w:rFonts w:cs="Arial"/>
          <w:color w:val="000000" w:themeColor="text1"/>
          <w:sz w:val="24"/>
          <w:szCs w:val="24"/>
        </w:rPr>
        <w:t>y the move interim payments may</w:t>
      </w:r>
      <w:r w:rsidRPr="00DA70E7">
        <w:rPr>
          <w:rFonts w:cs="Arial"/>
          <w:color w:val="000000" w:themeColor="text1"/>
          <w:sz w:val="24"/>
          <w:szCs w:val="24"/>
        </w:rPr>
        <w:t xml:space="preserve"> be considered.</w:t>
      </w:r>
      <w:bookmarkEnd w:id="32"/>
      <w:bookmarkEnd w:id="33"/>
    </w:p>
    <w:p w:rsidR="00CA2ABB" w:rsidRPr="00883500" w:rsidRDefault="00367E04" w:rsidP="00883500">
      <w:pPr>
        <w:pStyle w:val="Heading1"/>
      </w:pPr>
      <w:bookmarkStart w:id="34" w:name="_Toc129768204"/>
      <w:r>
        <w:t>5.</w:t>
      </w:r>
      <w:r w:rsidR="002E7601" w:rsidRPr="00883500">
        <w:tab/>
        <w:t>Legal and Regulatory Compliance</w:t>
      </w:r>
      <w:bookmarkEnd w:id="34"/>
    </w:p>
    <w:p w:rsidR="00C66F14" w:rsidRDefault="00C66F14">
      <w:pPr>
        <w:spacing w:after="0" w:line="240" w:lineRule="auto"/>
        <w:rPr>
          <w:rFonts w:ascii="Arial" w:hAnsi="Arial" w:cs="Arial"/>
          <w:sz w:val="24"/>
          <w:szCs w:val="24"/>
        </w:rPr>
      </w:pPr>
    </w:p>
    <w:p w:rsidR="00AD53AB" w:rsidRPr="00A21885" w:rsidRDefault="00367E04" w:rsidP="00AD53AB">
      <w:pPr>
        <w:spacing w:after="0" w:line="240" w:lineRule="auto"/>
        <w:ind w:left="720" w:hanging="720"/>
        <w:rPr>
          <w:rFonts w:cs="Arial"/>
          <w:sz w:val="24"/>
          <w:szCs w:val="24"/>
        </w:rPr>
      </w:pPr>
      <w:r w:rsidRPr="00A21885">
        <w:rPr>
          <w:rFonts w:cs="Arial"/>
          <w:sz w:val="24"/>
          <w:szCs w:val="24"/>
        </w:rPr>
        <w:t>5</w:t>
      </w:r>
      <w:r w:rsidR="00AD53AB" w:rsidRPr="00A21885">
        <w:rPr>
          <w:rFonts w:cs="Arial"/>
          <w:sz w:val="24"/>
          <w:szCs w:val="24"/>
        </w:rPr>
        <w:t>.1</w:t>
      </w:r>
      <w:r w:rsidR="00AD53AB" w:rsidRPr="00A21885">
        <w:rPr>
          <w:rFonts w:cs="Arial"/>
          <w:sz w:val="24"/>
          <w:szCs w:val="24"/>
        </w:rPr>
        <w:tab/>
        <w:t xml:space="preserve">This policy will seek to comply to meet our Legal </w:t>
      </w:r>
      <w:r w:rsidR="00297D17" w:rsidRPr="00A21885">
        <w:rPr>
          <w:rFonts w:cs="Arial"/>
          <w:sz w:val="24"/>
          <w:szCs w:val="24"/>
        </w:rPr>
        <w:t>Obligations</w:t>
      </w:r>
      <w:r w:rsidR="00AD53AB" w:rsidRPr="00A21885">
        <w:rPr>
          <w:rFonts w:cs="Arial"/>
          <w:sz w:val="24"/>
          <w:szCs w:val="24"/>
        </w:rPr>
        <w:t xml:space="preserve"> and best practice guidance</w:t>
      </w:r>
      <w:r w:rsidR="00E5383A" w:rsidRPr="00A21885">
        <w:rPr>
          <w:rFonts w:cs="Arial"/>
          <w:sz w:val="24"/>
          <w:szCs w:val="24"/>
        </w:rPr>
        <w:t xml:space="preserve"> set out in the following Legislation;</w:t>
      </w:r>
    </w:p>
    <w:p w:rsidR="00E5383A" w:rsidRPr="00A21885" w:rsidRDefault="00E5383A" w:rsidP="00AD53AB">
      <w:pPr>
        <w:spacing w:after="0" w:line="240" w:lineRule="auto"/>
        <w:ind w:left="720" w:hanging="720"/>
        <w:rPr>
          <w:rFonts w:cs="Arial"/>
          <w:sz w:val="24"/>
          <w:szCs w:val="24"/>
        </w:rPr>
      </w:pPr>
    </w:p>
    <w:p w:rsidR="00E5383A" w:rsidRPr="00A21885" w:rsidRDefault="00E5383A" w:rsidP="00E5383A">
      <w:pPr>
        <w:pStyle w:val="ListParagraph"/>
        <w:numPr>
          <w:ilvl w:val="0"/>
          <w:numId w:val="9"/>
        </w:numPr>
        <w:spacing w:after="0" w:line="240" w:lineRule="auto"/>
        <w:rPr>
          <w:rFonts w:cs="Arial"/>
          <w:sz w:val="24"/>
          <w:szCs w:val="24"/>
        </w:rPr>
      </w:pPr>
      <w:r w:rsidRPr="00A21885">
        <w:rPr>
          <w:rFonts w:cs="Arial"/>
          <w:sz w:val="24"/>
          <w:szCs w:val="24"/>
        </w:rPr>
        <w:t>The Housing (Scotland( Action 1987, 2001 &amp; 2010;</w:t>
      </w:r>
    </w:p>
    <w:p w:rsidR="00E5383A" w:rsidRPr="00A21885" w:rsidRDefault="00E5383A" w:rsidP="00E5383A">
      <w:pPr>
        <w:pStyle w:val="ListParagraph"/>
        <w:numPr>
          <w:ilvl w:val="0"/>
          <w:numId w:val="9"/>
        </w:numPr>
        <w:spacing w:after="0" w:line="240" w:lineRule="auto"/>
        <w:rPr>
          <w:rFonts w:cs="Arial"/>
          <w:sz w:val="24"/>
          <w:szCs w:val="24"/>
        </w:rPr>
      </w:pPr>
      <w:r w:rsidRPr="00A21885">
        <w:rPr>
          <w:rFonts w:cs="Arial"/>
          <w:sz w:val="24"/>
          <w:szCs w:val="24"/>
        </w:rPr>
        <w:t xml:space="preserve">The </w:t>
      </w:r>
      <w:r w:rsidR="00DA64CE" w:rsidRPr="00A21885">
        <w:rPr>
          <w:rFonts w:cs="Arial"/>
          <w:sz w:val="24"/>
          <w:szCs w:val="24"/>
        </w:rPr>
        <w:t xml:space="preserve">General </w:t>
      </w:r>
      <w:r w:rsidRPr="00A21885">
        <w:rPr>
          <w:rFonts w:cs="Arial"/>
          <w:sz w:val="24"/>
          <w:szCs w:val="24"/>
        </w:rPr>
        <w:t>Data Protection Act 2018</w:t>
      </w:r>
    </w:p>
    <w:p w:rsidR="00DA64CE" w:rsidRPr="00A21885" w:rsidRDefault="00DA64CE" w:rsidP="00E5383A">
      <w:pPr>
        <w:pStyle w:val="ListParagraph"/>
        <w:numPr>
          <w:ilvl w:val="0"/>
          <w:numId w:val="9"/>
        </w:numPr>
        <w:spacing w:after="0" w:line="240" w:lineRule="auto"/>
        <w:rPr>
          <w:rFonts w:cs="Arial"/>
          <w:sz w:val="24"/>
          <w:szCs w:val="24"/>
        </w:rPr>
      </w:pPr>
      <w:r w:rsidRPr="00A21885">
        <w:rPr>
          <w:rFonts w:cs="Arial"/>
          <w:sz w:val="24"/>
          <w:szCs w:val="24"/>
        </w:rPr>
        <w:t>Equality Action 2010</w:t>
      </w:r>
    </w:p>
    <w:p w:rsidR="00E5383A" w:rsidRPr="00A21885" w:rsidRDefault="00E5383A" w:rsidP="00E5383A">
      <w:pPr>
        <w:pStyle w:val="ListParagraph"/>
        <w:numPr>
          <w:ilvl w:val="0"/>
          <w:numId w:val="9"/>
        </w:numPr>
        <w:spacing w:after="0" w:line="240" w:lineRule="auto"/>
        <w:rPr>
          <w:rFonts w:cs="Arial"/>
          <w:sz w:val="24"/>
          <w:szCs w:val="24"/>
        </w:rPr>
      </w:pPr>
      <w:r w:rsidRPr="00A21885">
        <w:rPr>
          <w:rFonts w:cs="Arial"/>
          <w:sz w:val="24"/>
          <w:szCs w:val="24"/>
        </w:rPr>
        <w:t>Scottish Secure Tenancy Agreement, Short Scottish Secure Tenancy Agreement and Occupancy Agreement</w:t>
      </w:r>
    </w:p>
    <w:p w:rsidR="00DA64CE" w:rsidRPr="00A21885" w:rsidRDefault="00DA64CE" w:rsidP="00DA64CE">
      <w:pPr>
        <w:spacing w:after="0" w:line="240" w:lineRule="auto"/>
        <w:rPr>
          <w:rFonts w:cs="Arial"/>
          <w:sz w:val="24"/>
          <w:szCs w:val="24"/>
        </w:rPr>
      </w:pPr>
    </w:p>
    <w:p w:rsidR="00DA64CE" w:rsidRPr="00A21885" w:rsidRDefault="00367E04" w:rsidP="00DA64CE">
      <w:pPr>
        <w:spacing w:after="0" w:line="240" w:lineRule="auto"/>
        <w:rPr>
          <w:rFonts w:cs="Arial"/>
          <w:sz w:val="24"/>
          <w:szCs w:val="24"/>
        </w:rPr>
      </w:pPr>
      <w:r w:rsidRPr="00A21885">
        <w:rPr>
          <w:rFonts w:cs="Arial"/>
          <w:sz w:val="24"/>
          <w:szCs w:val="24"/>
        </w:rPr>
        <w:t>5</w:t>
      </w:r>
      <w:r w:rsidR="00DA64CE" w:rsidRPr="00A21885">
        <w:rPr>
          <w:rFonts w:cs="Arial"/>
          <w:sz w:val="24"/>
          <w:szCs w:val="24"/>
        </w:rPr>
        <w:t>.2</w:t>
      </w:r>
      <w:r w:rsidR="00DA64CE" w:rsidRPr="00A21885">
        <w:rPr>
          <w:rFonts w:cs="Arial"/>
          <w:sz w:val="24"/>
          <w:szCs w:val="24"/>
        </w:rPr>
        <w:tab/>
        <w:t>In addition, we will meet the following outcome of the regulatory standards;</w:t>
      </w:r>
    </w:p>
    <w:p w:rsidR="00DA64CE" w:rsidRPr="00A21885" w:rsidRDefault="00DA64CE" w:rsidP="00DA64CE">
      <w:pPr>
        <w:spacing w:after="0" w:line="240" w:lineRule="auto"/>
        <w:rPr>
          <w:rFonts w:cs="Arial"/>
          <w:sz w:val="24"/>
          <w:szCs w:val="24"/>
        </w:rPr>
      </w:pPr>
    </w:p>
    <w:p w:rsidR="00DA64CE" w:rsidRPr="00A21885" w:rsidRDefault="00DA64CE" w:rsidP="00DA64CE">
      <w:pPr>
        <w:pStyle w:val="ListParagraph"/>
        <w:numPr>
          <w:ilvl w:val="0"/>
          <w:numId w:val="13"/>
        </w:numPr>
        <w:spacing w:after="0" w:line="240" w:lineRule="auto"/>
        <w:rPr>
          <w:rFonts w:cs="Arial"/>
          <w:sz w:val="24"/>
          <w:szCs w:val="24"/>
        </w:rPr>
      </w:pPr>
      <w:r w:rsidRPr="00A21885">
        <w:rPr>
          <w:rFonts w:cs="Arial"/>
          <w:b/>
          <w:sz w:val="24"/>
          <w:szCs w:val="24"/>
        </w:rPr>
        <w:t xml:space="preserve">Outcome </w:t>
      </w:r>
      <w:r w:rsidR="00066F39" w:rsidRPr="00A21885">
        <w:rPr>
          <w:rFonts w:cs="Arial"/>
          <w:b/>
          <w:sz w:val="24"/>
          <w:szCs w:val="24"/>
        </w:rPr>
        <w:t>1: Equalities</w:t>
      </w:r>
      <w:r w:rsidR="00066F39" w:rsidRPr="00A21885">
        <w:rPr>
          <w:rFonts w:cs="Arial"/>
          <w:sz w:val="24"/>
          <w:szCs w:val="24"/>
        </w:rPr>
        <w:t xml:space="preserve"> - “Every tenant and other customers has their individual need recognised, is treated fairly and with respect, and receives fair access to housing and housing services”.</w:t>
      </w:r>
    </w:p>
    <w:p w:rsidR="00066F39" w:rsidRPr="00A21885" w:rsidRDefault="00066F39" w:rsidP="00066F39">
      <w:pPr>
        <w:spacing w:after="0" w:line="240" w:lineRule="auto"/>
        <w:rPr>
          <w:rFonts w:cs="Arial"/>
          <w:sz w:val="24"/>
          <w:szCs w:val="24"/>
        </w:rPr>
      </w:pPr>
    </w:p>
    <w:p w:rsidR="00066F39" w:rsidRPr="00A21885" w:rsidRDefault="00066F39" w:rsidP="00066F39">
      <w:pPr>
        <w:pStyle w:val="ListParagraph"/>
        <w:numPr>
          <w:ilvl w:val="0"/>
          <w:numId w:val="13"/>
        </w:numPr>
        <w:spacing w:after="0" w:line="240" w:lineRule="auto"/>
        <w:rPr>
          <w:rFonts w:cs="Arial"/>
          <w:sz w:val="24"/>
          <w:szCs w:val="24"/>
        </w:rPr>
      </w:pPr>
      <w:r w:rsidRPr="00A21885">
        <w:rPr>
          <w:rFonts w:cs="Arial"/>
          <w:b/>
          <w:sz w:val="24"/>
          <w:szCs w:val="24"/>
        </w:rPr>
        <w:t>Outcome 4: Quality of Housing</w:t>
      </w:r>
      <w:r w:rsidRPr="00A21885">
        <w:rPr>
          <w:rFonts w:cs="Arial"/>
          <w:sz w:val="24"/>
          <w:szCs w:val="24"/>
        </w:rPr>
        <w:t xml:space="preserve"> – “Tenants’ homes, as a minimum, meet the Scottish Housing Quality Standard (SHQS), when they are allocated; are always clean, tidy and in a good state of repair; and also meet the Energy Efficiency Standard of Social Housing (EESSH) by December 2020”.</w:t>
      </w:r>
    </w:p>
    <w:p w:rsidR="00066F39" w:rsidRPr="00A21885" w:rsidRDefault="00066F39" w:rsidP="00066F39">
      <w:pPr>
        <w:pStyle w:val="ListParagraph"/>
        <w:rPr>
          <w:rFonts w:cs="Arial"/>
          <w:sz w:val="24"/>
          <w:szCs w:val="24"/>
        </w:rPr>
      </w:pPr>
    </w:p>
    <w:p w:rsidR="00066F39" w:rsidRPr="00A21885" w:rsidRDefault="00066F39" w:rsidP="00066F39">
      <w:pPr>
        <w:pStyle w:val="ListParagraph"/>
        <w:numPr>
          <w:ilvl w:val="0"/>
          <w:numId w:val="13"/>
        </w:numPr>
        <w:spacing w:after="0" w:line="240" w:lineRule="auto"/>
        <w:rPr>
          <w:rFonts w:cs="Arial"/>
          <w:sz w:val="24"/>
          <w:szCs w:val="24"/>
        </w:rPr>
      </w:pPr>
      <w:r w:rsidRPr="00A21885">
        <w:rPr>
          <w:rFonts w:cs="Arial"/>
          <w:b/>
          <w:sz w:val="24"/>
          <w:szCs w:val="24"/>
        </w:rPr>
        <w:t>Outcome 5: Repairs and Maintenance</w:t>
      </w:r>
      <w:r w:rsidRPr="00A21885">
        <w:rPr>
          <w:rFonts w:cs="Arial"/>
          <w:sz w:val="24"/>
          <w:szCs w:val="24"/>
        </w:rPr>
        <w:t xml:space="preserve"> – “</w:t>
      </w:r>
      <w:r w:rsidR="00D26E78" w:rsidRPr="00A21885">
        <w:rPr>
          <w:rFonts w:cs="Arial"/>
          <w:sz w:val="24"/>
          <w:szCs w:val="24"/>
        </w:rPr>
        <w:t>Tenants’ homes are well maintained, with repairs and improvements carried out when required, and tenants are given reasonable choices about when works is done”.</w:t>
      </w:r>
    </w:p>
    <w:p w:rsidR="00D26E78" w:rsidRPr="00A21885" w:rsidRDefault="00D26E78" w:rsidP="00D26E78">
      <w:pPr>
        <w:pStyle w:val="ListParagraph"/>
        <w:rPr>
          <w:rFonts w:cs="Arial"/>
          <w:sz w:val="24"/>
          <w:szCs w:val="24"/>
        </w:rPr>
      </w:pPr>
    </w:p>
    <w:p w:rsidR="00D26E78" w:rsidRPr="00A21885" w:rsidRDefault="00D26E78" w:rsidP="00066F39">
      <w:pPr>
        <w:pStyle w:val="ListParagraph"/>
        <w:numPr>
          <w:ilvl w:val="0"/>
          <w:numId w:val="13"/>
        </w:numPr>
        <w:spacing w:after="0" w:line="240" w:lineRule="auto"/>
        <w:rPr>
          <w:rFonts w:cs="Arial"/>
          <w:sz w:val="24"/>
          <w:szCs w:val="24"/>
        </w:rPr>
      </w:pPr>
      <w:r w:rsidRPr="00A21885">
        <w:rPr>
          <w:rFonts w:cs="Arial"/>
          <w:b/>
          <w:sz w:val="24"/>
          <w:szCs w:val="24"/>
        </w:rPr>
        <w:t>Outcome 13: Value for Money</w:t>
      </w:r>
      <w:r w:rsidRPr="00A21885">
        <w:rPr>
          <w:rFonts w:cs="Arial"/>
          <w:sz w:val="24"/>
          <w:szCs w:val="24"/>
        </w:rPr>
        <w:t xml:space="preserve"> – “Tenants, owner and other customers receive services that provide continually improving value for rent and other charges they pay.  The Scottish Housing Regulator is responsible for monitoring, reporting and assessing how well social landlords are achieving the Charter’s outcomes and standards”.</w:t>
      </w:r>
    </w:p>
    <w:p w:rsidR="00D26E78" w:rsidRPr="00A21885" w:rsidRDefault="00D26E78" w:rsidP="00D26E78">
      <w:pPr>
        <w:pStyle w:val="ListParagraph"/>
        <w:rPr>
          <w:rFonts w:cs="Arial"/>
          <w:sz w:val="24"/>
          <w:szCs w:val="24"/>
        </w:rPr>
      </w:pPr>
    </w:p>
    <w:p w:rsidR="00D26E78" w:rsidRPr="00A21885" w:rsidRDefault="00D26E78" w:rsidP="00066F39">
      <w:pPr>
        <w:pStyle w:val="ListParagraph"/>
        <w:numPr>
          <w:ilvl w:val="0"/>
          <w:numId w:val="13"/>
        </w:numPr>
        <w:spacing w:after="0" w:line="240" w:lineRule="auto"/>
        <w:rPr>
          <w:rFonts w:cs="Arial"/>
          <w:sz w:val="24"/>
          <w:szCs w:val="24"/>
        </w:rPr>
      </w:pPr>
      <w:r w:rsidRPr="00A21885">
        <w:rPr>
          <w:rFonts w:cs="Arial"/>
          <w:b/>
          <w:sz w:val="24"/>
          <w:szCs w:val="24"/>
        </w:rPr>
        <w:t>Regulatory Standard 1</w:t>
      </w:r>
      <w:r w:rsidRPr="00A21885">
        <w:rPr>
          <w:rFonts w:cs="Arial"/>
          <w:sz w:val="24"/>
          <w:szCs w:val="24"/>
        </w:rPr>
        <w:t xml:space="preserve"> – “The governing body leads and directs the RSL to achieve good outcomes for its tenant’s and other service users”.</w:t>
      </w:r>
    </w:p>
    <w:p w:rsidR="00D26E78" w:rsidRPr="00A21885" w:rsidRDefault="00D26E78" w:rsidP="00D26E78">
      <w:pPr>
        <w:pStyle w:val="ListParagraph"/>
        <w:rPr>
          <w:rFonts w:cs="Arial"/>
          <w:sz w:val="24"/>
          <w:szCs w:val="24"/>
        </w:rPr>
      </w:pPr>
    </w:p>
    <w:p w:rsidR="00D26E78" w:rsidRPr="00A21885" w:rsidRDefault="00D26E78" w:rsidP="00066F39">
      <w:pPr>
        <w:pStyle w:val="ListParagraph"/>
        <w:numPr>
          <w:ilvl w:val="0"/>
          <w:numId w:val="13"/>
        </w:numPr>
        <w:spacing w:after="0" w:line="240" w:lineRule="auto"/>
        <w:rPr>
          <w:rFonts w:cs="Arial"/>
          <w:sz w:val="24"/>
          <w:szCs w:val="24"/>
        </w:rPr>
      </w:pPr>
      <w:r w:rsidRPr="00A21885">
        <w:rPr>
          <w:rFonts w:cs="Arial"/>
          <w:b/>
          <w:sz w:val="24"/>
          <w:szCs w:val="24"/>
        </w:rPr>
        <w:t>Regulatory Standard 2</w:t>
      </w:r>
      <w:r w:rsidRPr="00A21885">
        <w:rPr>
          <w:rFonts w:cs="Arial"/>
          <w:sz w:val="24"/>
          <w:szCs w:val="24"/>
        </w:rPr>
        <w:t xml:space="preserve"> – “The RSL is open about and accountable for what it does.  It understands and takes account of the needs and priorities of </w:t>
      </w:r>
      <w:r w:rsidR="005D5897" w:rsidRPr="00A21885">
        <w:rPr>
          <w:rFonts w:cs="Arial"/>
          <w:sz w:val="24"/>
          <w:szCs w:val="24"/>
        </w:rPr>
        <w:t>its</w:t>
      </w:r>
      <w:r w:rsidRPr="00A21885">
        <w:rPr>
          <w:rFonts w:cs="Arial"/>
          <w:sz w:val="24"/>
          <w:szCs w:val="24"/>
        </w:rPr>
        <w:t xml:space="preserve"> tenants, service users and stakeholders, and </w:t>
      </w:r>
      <w:r w:rsidR="005D5897" w:rsidRPr="00A21885">
        <w:rPr>
          <w:rFonts w:cs="Arial"/>
          <w:sz w:val="24"/>
          <w:szCs w:val="24"/>
        </w:rPr>
        <w:t>its</w:t>
      </w:r>
      <w:r w:rsidRPr="00A21885">
        <w:rPr>
          <w:rFonts w:cs="Arial"/>
          <w:sz w:val="24"/>
          <w:szCs w:val="24"/>
        </w:rPr>
        <w:t xml:space="preserve"> primary focus is the sustainable achievement of these objectives”.</w:t>
      </w:r>
    </w:p>
    <w:p w:rsidR="00CA2ABB" w:rsidRPr="00883500" w:rsidRDefault="00367E04" w:rsidP="00883500">
      <w:pPr>
        <w:pStyle w:val="Heading1"/>
      </w:pPr>
      <w:bookmarkStart w:id="35" w:name="_Toc129768205"/>
      <w:r>
        <w:t>6.</w:t>
      </w:r>
      <w:r w:rsidR="008A40C1" w:rsidRPr="00883500">
        <w:tab/>
      </w:r>
      <w:r w:rsidR="005D5897" w:rsidRPr="00883500">
        <w:t>Decant Framework</w:t>
      </w:r>
      <w:bookmarkEnd w:id="35"/>
    </w:p>
    <w:p w:rsidR="00855CD5" w:rsidRPr="00D5453E" w:rsidRDefault="00855CD5">
      <w:pPr>
        <w:spacing w:after="0" w:line="240" w:lineRule="auto"/>
        <w:jc w:val="both"/>
        <w:rPr>
          <w:rFonts w:ascii="Arial" w:hAnsi="Arial" w:cs="Arial"/>
          <w:sz w:val="24"/>
          <w:szCs w:val="24"/>
        </w:rPr>
      </w:pPr>
    </w:p>
    <w:p w:rsidR="00185BB2" w:rsidRPr="008043D0" w:rsidRDefault="00367E04" w:rsidP="00FA2E54">
      <w:pPr>
        <w:spacing w:after="0" w:line="240" w:lineRule="auto"/>
        <w:ind w:left="720" w:hanging="720"/>
        <w:rPr>
          <w:rFonts w:cs="Arial"/>
          <w:sz w:val="24"/>
          <w:szCs w:val="24"/>
        </w:rPr>
      </w:pPr>
      <w:r w:rsidRPr="00DA70E7">
        <w:rPr>
          <w:rFonts w:cs="Arial"/>
          <w:sz w:val="24"/>
          <w:szCs w:val="24"/>
        </w:rPr>
        <w:t>6</w:t>
      </w:r>
      <w:r w:rsidR="00855CD5" w:rsidRPr="00DA70E7">
        <w:rPr>
          <w:rFonts w:cs="Arial"/>
          <w:sz w:val="24"/>
          <w:szCs w:val="24"/>
        </w:rPr>
        <w:t>.1</w:t>
      </w:r>
      <w:r w:rsidR="00855CD5" w:rsidRPr="00D5453E">
        <w:rPr>
          <w:rFonts w:ascii="Arial" w:hAnsi="Arial" w:cs="Arial"/>
          <w:sz w:val="24"/>
          <w:szCs w:val="24"/>
        </w:rPr>
        <w:tab/>
      </w:r>
      <w:r w:rsidR="00185BB2" w:rsidRPr="008043D0">
        <w:rPr>
          <w:rFonts w:cs="Arial"/>
          <w:sz w:val="24"/>
          <w:szCs w:val="24"/>
        </w:rPr>
        <w:t>The Housing Scotland Act (Scotland) 1987 (as amended) sets our categories of homeless persons who must be considered a</w:t>
      </w:r>
      <w:r w:rsidR="004E73FF" w:rsidRPr="008043D0">
        <w:rPr>
          <w:rFonts w:cs="Arial"/>
          <w:sz w:val="24"/>
          <w:szCs w:val="24"/>
        </w:rPr>
        <w:t>s having a priority need for ho</w:t>
      </w:r>
      <w:r w:rsidR="00185BB2" w:rsidRPr="008043D0">
        <w:rPr>
          <w:rFonts w:cs="Arial"/>
          <w:sz w:val="24"/>
          <w:szCs w:val="24"/>
        </w:rPr>
        <w:t>u</w:t>
      </w:r>
      <w:r w:rsidR="004E73FF" w:rsidRPr="008043D0">
        <w:rPr>
          <w:rFonts w:cs="Arial"/>
          <w:sz w:val="24"/>
          <w:szCs w:val="24"/>
        </w:rPr>
        <w:t>s</w:t>
      </w:r>
      <w:r w:rsidR="00185BB2" w:rsidRPr="008043D0">
        <w:rPr>
          <w:rFonts w:cs="Arial"/>
          <w:sz w:val="24"/>
          <w:szCs w:val="24"/>
        </w:rPr>
        <w:t xml:space="preserve">ing and this include a person who is homeless or threatened with homelessness as a result of an emergency such as flood, fire or any other disaster.  </w:t>
      </w:r>
    </w:p>
    <w:p w:rsidR="00185BB2" w:rsidRPr="008043D0" w:rsidRDefault="00185BB2" w:rsidP="00FA2E54">
      <w:pPr>
        <w:spacing w:after="0" w:line="240" w:lineRule="auto"/>
        <w:ind w:left="720" w:hanging="720"/>
        <w:rPr>
          <w:rFonts w:cs="Arial"/>
          <w:sz w:val="24"/>
          <w:szCs w:val="24"/>
        </w:rPr>
      </w:pPr>
    </w:p>
    <w:p w:rsidR="00185BB2" w:rsidRPr="008043D0" w:rsidRDefault="00367E04" w:rsidP="00FA2E54">
      <w:pPr>
        <w:spacing w:after="0" w:line="240" w:lineRule="auto"/>
        <w:ind w:left="720" w:hanging="720"/>
        <w:rPr>
          <w:rFonts w:cs="Arial"/>
          <w:sz w:val="24"/>
          <w:szCs w:val="24"/>
        </w:rPr>
      </w:pPr>
      <w:r w:rsidRPr="008043D0">
        <w:rPr>
          <w:rFonts w:cs="Arial"/>
          <w:sz w:val="24"/>
          <w:szCs w:val="24"/>
        </w:rPr>
        <w:t>6</w:t>
      </w:r>
      <w:r w:rsidR="00185BB2" w:rsidRPr="008043D0">
        <w:rPr>
          <w:rFonts w:cs="Arial"/>
          <w:sz w:val="24"/>
          <w:szCs w:val="24"/>
        </w:rPr>
        <w:t>.2</w:t>
      </w:r>
      <w:r w:rsidR="00185BB2" w:rsidRPr="008043D0">
        <w:rPr>
          <w:rFonts w:cs="Arial"/>
          <w:sz w:val="24"/>
          <w:szCs w:val="24"/>
        </w:rPr>
        <w:tab/>
        <w:t>As a result, Govan Housing Association and their families who are unable to stay in their houses due to an emergency must be provided with temporary housing by the local authority (Glasgow City Council). This obvious</w:t>
      </w:r>
      <w:r w:rsidR="006669F6">
        <w:rPr>
          <w:rFonts w:cs="Arial"/>
          <w:sz w:val="24"/>
          <w:szCs w:val="24"/>
        </w:rPr>
        <w:t>ly won't apply in cases when a D</w:t>
      </w:r>
      <w:r w:rsidR="00185BB2" w:rsidRPr="008043D0">
        <w:rPr>
          <w:rFonts w:cs="Arial"/>
          <w:sz w:val="24"/>
          <w:szCs w:val="24"/>
        </w:rPr>
        <w:t>ecant is required due to planned maintenance or repair.</w:t>
      </w:r>
    </w:p>
    <w:p w:rsidR="007A54CD" w:rsidRPr="008043D0" w:rsidRDefault="007A54CD" w:rsidP="00FA2E54">
      <w:pPr>
        <w:spacing w:after="0" w:line="240" w:lineRule="auto"/>
        <w:ind w:left="720" w:hanging="720"/>
        <w:rPr>
          <w:rFonts w:cs="Arial"/>
          <w:sz w:val="24"/>
          <w:szCs w:val="24"/>
        </w:rPr>
      </w:pPr>
    </w:p>
    <w:p w:rsidR="007A54CD" w:rsidRPr="008043D0" w:rsidRDefault="00367E04" w:rsidP="007A54CD">
      <w:pPr>
        <w:pStyle w:val="Default"/>
        <w:ind w:left="720" w:hanging="720"/>
        <w:rPr>
          <w:rFonts w:asciiTheme="minorHAnsi" w:hAnsiTheme="minorHAnsi"/>
        </w:rPr>
      </w:pPr>
      <w:r>
        <w:t>6</w:t>
      </w:r>
      <w:r w:rsidR="007A54CD">
        <w:t>.3</w:t>
      </w:r>
      <w:r w:rsidR="007A54CD">
        <w:tab/>
      </w:r>
      <w:r w:rsidR="007A54CD" w:rsidRPr="008043D0">
        <w:rPr>
          <w:rFonts w:asciiTheme="minorHAnsi" w:hAnsiTheme="minorHAnsi"/>
        </w:rPr>
        <w:t xml:space="preserve">The type of the property that is available and the duration of the period of decant will determine the issues to be addressed during decant at both the original and the decant address. Where the Association’s own accommodation is to be used, the property should be to lettable standard before use. </w:t>
      </w:r>
    </w:p>
    <w:p w:rsidR="00FF18DA" w:rsidRPr="008043D0" w:rsidRDefault="00FF18DA" w:rsidP="007A54CD">
      <w:pPr>
        <w:pStyle w:val="Default"/>
        <w:ind w:left="720" w:hanging="720"/>
        <w:rPr>
          <w:rFonts w:asciiTheme="minorHAnsi" w:hAnsiTheme="minorHAnsi"/>
        </w:rPr>
      </w:pPr>
    </w:p>
    <w:p w:rsidR="000F39C8" w:rsidRPr="008043D0" w:rsidRDefault="00367E04" w:rsidP="00FF18DA">
      <w:pPr>
        <w:spacing w:after="0" w:line="240" w:lineRule="auto"/>
        <w:ind w:left="720" w:hanging="720"/>
        <w:rPr>
          <w:rFonts w:cs="Arial"/>
          <w:sz w:val="24"/>
          <w:szCs w:val="24"/>
        </w:rPr>
      </w:pPr>
      <w:r w:rsidRPr="008043D0">
        <w:rPr>
          <w:rFonts w:cs="Arial"/>
          <w:sz w:val="24"/>
          <w:szCs w:val="24"/>
        </w:rPr>
        <w:t>6</w:t>
      </w:r>
      <w:r w:rsidR="00FF18DA" w:rsidRPr="008043D0">
        <w:rPr>
          <w:rFonts w:cs="Arial"/>
          <w:sz w:val="24"/>
          <w:szCs w:val="24"/>
        </w:rPr>
        <w:t>.4</w:t>
      </w:r>
      <w:r w:rsidR="00FF18DA" w:rsidRPr="008043D0">
        <w:rPr>
          <w:sz w:val="24"/>
          <w:szCs w:val="24"/>
        </w:rPr>
        <w:tab/>
      </w:r>
      <w:r w:rsidR="00FF18DA" w:rsidRPr="008043D0">
        <w:rPr>
          <w:rFonts w:cs="Arial"/>
          <w:sz w:val="24"/>
          <w:szCs w:val="24"/>
        </w:rPr>
        <w:t xml:space="preserve">While the Association would prefer that </w:t>
      </w:r>
      <w:r w:rsidR="005D5897" w:rsidRPr="008043D0">
        <w:rPr>
          <w:rFonts w:cs="Arial"/>
          <w:sz w:val="24"/>
          <w:szCs w:val="24"/>
        </w:rPr>
        <w:t>customers are</w:t>
      </w:r>
      <w:r w:rsidR="00FF18DA" w:rsidRPr="008043D0">
        <w:rPr>
          <w:rFonts w:cs="Arial"/>
          <w:sz w:val="24"/>
          <w:szCs w:val="24"/>
        </w:rPr>
        <w:t xml:space="preserve"> decanted to an Association property while repair work is completed, if such a space is not available and the work cannot be postponed until it is, the Association will make hotel accommodations for the time period available or until adequate alternative accommodation is sought within the Associations properties.</w:t>
      </w:r>
    </w:p>
    <w:p w:rsidR="00FF18DA" w:rsidRPr="008043D0" w:rsidRDefault="00FF18DA" w:rsidP="00FF18DA">
      <w:pPr>
        <w:spacing w:after="0" w:line="240" w:lineRule="auto"/>
        <w:ind w:left="720" w:hanging="720"/>
        <w:rPr>
          <w:rFonts w:cs="Arial"/>
          <w:sz w:val="24"/>
          <w:szCs w:val="24"/>
        </w:rPr>
      </w:pPr>
    </w:p>
    <w:p w:rsidR="000F39C8" w:rsidRPr="008043D0" w:rsidRDefault="00367E04" w:rsidP="007A54CD">
      <w:pPr>
        <w:pStyle w:val="Default"/>
        <w:ind w:left="720" w:hanging="720"/>
        <w:rPr>
          <w:rFonts w:asciiTheme="minorHAnsi" w:hAnsiTheme="minorHAnsi"/>
        </w:rPr>
      </w:pPr>
      <w:r w:rsidRPr="008043D0">
        <w:rPr>
          <w:rFonts w:asciiTheme="minorHAnsi" w:hAnsiTheme="minorHAnsi"/>
        </w:rPr>
        <w:t>6</w:t>
      </w:r>
      <w:r w:rsidR="00DA58A4" w:rsidRPr="008043D0">
        <w:rPr>
          <w:rFonts w:asciiTheme="minorHAnsi" w:hAnsiTheme="minorHAnsi"/>
        </w:rPr>
        <w:t>.5</w:t>
      </w:r>
      <w:r w:rsidR="000F39C8" w:rsidRPr="008043D0">
        <w:rPr>
          <w:rFonts w:asciiTheme="minorHAnsi" w:hAnsiTheme="minorHAnsi"/>
        </w:rPr>
        <w:tab/>
        <w:t>The availability of decan</w:t>
      </w:r>
      <w:r w:rsidR="00FF18DA" w:rsidRPr="008043D0">
        <w:rPr>
          <w:rFonts w:asciiTheme="minorHAnsi" w:hAnsiTheme="minorHAnsi"/>
        </w:rPr>
        <w:t>t</w:t>
      </w:r>
      <w:r w:rsidR="000F39C8" w:rsidRPr="008043D0">
        <w:rPr>
          <w:rFonts w:asciiTheme="minorHAnsi" w:hAnsiTheme="minorHAnsi"/>
        </w:rPr>
        <w:t xml:space="preserve"> accommodation and choices that we can offer to customers will depend on what is available at the time, although decanting in non-emergency situations may be delayed until suitable accommodation becomes available.  The possible types of temporary decant accommodation for our customers are;</w:t>
      </w:r>
    </w:p>
    <w:p w:rsidR="000F39C8" w:rsidRPr="008043D0" w:rsidRDefault="000F39C8" w:rsidP="007A54CD">
      <w:pPr>
        <w:pStyle w:val="Default"/>
        <w:ind w:left="720" w:hanging="720"/>
        <w:rPr>
          <w:rFonts w:asciiTheme="minorHAnsi" w:hAnsiTheme="minorHAnsi"/>
        </w:rPr>
      </w:pPr>
    </w:p>
    <w:p w:rsidR="000F39C8" w:rsidRPr="008043D0" w:rsidRDefault="00FF18DA" w:rsidP="000F39C8">
      <w:pPr>
        <w:pStyle w:val="Default"/>
        <w:numPr>
          <w:ilvl w:val="0"/>
          <w:numId w:val="17"/>
        </w:numPr>
        <w:rPr>
          <w:rFonts w:asciiTheme="minorHAnsi" w:hAnsiTheme="minorHAnsi"/>
        </w:rPr>
      </w:pPr>
      <w:r w:rsidRPr="008043D0">
        <w:rPr>
          <w:rFonts w:asciiTheme="minorHAnsi" w:hAnsiTheme="minorHAnsi"/>
        </w:rPr>
        <w:t>Emergency accommodation provided with the local authority for emergency situations;</w:t>
      </w:r>
    </w:p>
    <w:p w:rsidR="00FF18DA" w:rsidRPr="008043D0" w:rsidRDefault="00FF18DA" w:rsidP="000F39C8">
      <w:pPr>
        <w:pStyle w:val="Default"/>
        <w:numPr>
          <w:ilvl w:val="0"/>
          <w:numId w:val="17"/>
        </w:numPr>
        <w:rPr>
          <w:rFonts w:asciiTheme="minorHAnsi" w:hAnsiTheme="minorHAnsi"/>
        </w:rPr>
      </w:pPr>
      <w:r w:rsidRPr="008043D0">
        <w:rPr>
          <w:rFonts w:asciiTheme="minorHAnsi" w:hAnsiTheme="minorHAnsi"/>
        </w:rPr>
        <w:t>Staying with relatives or friends</w:t>
      </w:r>
    </w:p>
    <w:p w:rsidR="00FF18DA" w:rsidRPr="008043D0" w:rsidRDefault="00FF18DA" w:rsidP="000F39C8">
      <w:pPr>
        <w:pStyle w:val="Default"/>
        <w:numPr>
          <w:ilvl w:val="0"/>
          <w:numId w:val="17"/>
        </w:numPr>
        <w:rPr>
          <w:rFonts w:asciiTheme="minorHAnsi" w:hAnsiTheme="minorHAnsi"/>
        </w:rPr>
      </w:pPr>
      <w:r w:rsidRPr="008043D0">
        <w:rPr>
          <w:rFonts w:asciiTheme="minorHAnsi" w:hAnsiTheme="minorHAnsi"/>
        </w:rPr>
        <w:t>Association properties</w:t>
      </w:r>
    </w:p>
    <w:p w:rsidR="00FF18DA" w:rsidRPr="008043D0" w:rsidRDefault="00FF18DA" w:rsidP="000F39C8">
      <w:pPr>
        <w:pStyle w:val="Default"/>
        <w:numPr>
          <w:ilvl w:val="0"/>
          <w:numId w:val="17"/>
        </w:numPr>
        <w:rPr>
          <w:rFonts w:asciiTheme="minorHAnsi" w:hAnsiTheme="minorHAnsi"/>
        </w:rPr>
      </w:pPr>
      <w:r w:rsidRPr="008043D0">
        <w:rPr>
          <w:rFonts w:asciiTheme="minorHAnsi" w:hAnsiTheme="minorHAnsi"/>
        </w:rPr>
        <w:t>Properties provided by other local RSL’s if agreed</w:t>
      </w:r>
    </w:p>
    <w:p w:rsidR="00FF18DA" w:rsidRPr="008043D0" w:rsidRDefault="00FF18DA" w:rsidP="000F39C8">
      <w:pPr>
        <w:pStyle w:val="Default"/>
        <w:numPr>
          <w:ilvl w:val="0"/>
          <w:numId w:val="17"/>
        </w:numPr>
        <w:rPr>
          <w:rFonts w:asciiTheme="minorHAnsi" w:hAnsiTheme="minorHAnsi"/>
        </w:rPr>
      </w:pPr>
      <w:r w:rsidRPr="008043D0">
        <w:rPr>
          <w:rFonts w:asciiTheme="minorHAnsi" w:hAnsiTheme="minorHAnsi"/>
        </w:rPr>
        <w:t>Hotel accommodation (this option is not available where decant is required as a result of customer’s actions)</w:t>
      </w:r>
    </w:p>
    <w:p w:rsidR="00FF18DA" w:rsidRPr="008043D0" w:rsidRDefault="00FF18DA" w:rsidP="00DA58A4">
      <w:pPr>
        <w:spacing w:after="0" w:line="240" w:lineRule="auto"/>
        <w:rPr>
          <w:rStyle w:val="SubtleReference"/>
        </w:rPr>
      </w:pPr>
    </w:p>
    <w:p w:rsidR="00FF18DA" w:rsidRPr="008043D0" w:rsidRDefault="00367E04" w:rsidP="00DA58A4">
      <w:pPr>
        <w:spacing w:after="0" w:line="240" w:lineRule="auto"/>
        <w:ind w:left="720" w:hanging="720"/>
        <w:rPr>
          <w:rFonts w:cs="Arial"/>
          <w:sz w:val="24"/>
          <w:szCs w:val="24"/>
        </w:rPr>
      </w:pPr>
      <w:r w:rsidRPr="008043D0">
        <w:rPr>
          <w:rFonts w:cs="Arial"/>
          <w:sz w:val="24"/>
          <w:szCs w:val="24"/>
        </w:rPr>
        <w:t>6</w:t>
      </w:r>
      <w:r w:rsidR="00DA70E7">
        <w:rPr>
          <w:rFonts w:cs="Arial"/>
          <w:sz w:val="24"/>
          <w:szCs w:val="24"/>
        </w:rPr>
        <w:t>.6</w:t>
      </w:r>
      <w:r w:rsidR="00FF18DA" w:rsidRPr="008043D0">
        <w:rPr>
          <w:rFonts w:cs="Arial"/>
          <w:sz w:val="24"/>
          <w:szCs w:val="24"/>
        </w:rPr>
        <w:tab/>
        <w:t>The type of lodging offered to our customers will be of the "Travelodge" budget hotel variety and the Association will make attempts to make this a locally near the customers own home where possible.</w:t>
      </w:r>
    </w:p>
    <w:p w:rsidR="00FF18DA" w:rsidRPr="008043D0" w:rsidRDefault="00FF18DA" w:rsidP="00FB1DD3">
      <w:pPr>
        <w:pStyle w:val="Default"/>
        <w:rPr>
          <w:rFonts w:asciiTheme="minorHAnsi" w:hAnsiTheme="minorHAnsi"/>
        </w:rPr>
      </w:pPr>
    </w:p>
    <w:p w:rsidR="007A54CD" w:rsidRPr="008043D0" w:rsidRDefault="00367E04" w:rsidP="007A54CD">
      <w:pPr>
        <w:pStyle w:val="Default"/>
        <w:ind w:left="720" w:hanging="720"/>
        <w:rPr>
          <w:rFonts w:asciiTheme="minorHAnsi" w:hAnsiTheme="minorHAnsi"/>
        </w:rPr>
      </w:pPr>
      <w:r w:rsidRPr="008043D0">
        <w:rPr>
          <w:rFonts w:asciiTheme="minorHAnsi" w:hAnsiTheme="minorHAnsi"/>
        </w:rPr>
        <w:t>6</w:t>
      </w:r>
      <w:r w:rsidR="00DA70E7">
        <w:rPr>
          <w:rFonts w:asciiTheme="minorHAnsi" w:hAnsiTheme="minorHAnsi"/>
        </w:rPr>
        <w:t>.7</w:t>
      </w:r>
      <w:r w:rsidR="007A54CD" w:rsidRPr="008043D0">
        <w:rPr>
          <w:rFonts w:asciiTheme="minorHAnsi" w:hAnsiTheme="minorHAnsi"/>
        </w:rPr>
        <w:tab/>
        <w:t>Accommodation will be allocated according to the customer</w:t>
      </w:r>
      <w:r w:rsidR="004E73FF" w:rsidRPr="008043D0">
        <w:rPr>
          <w:rFonts w:asciiTheme="minorHAnsi" w:hAnsiTheme="minorHAnsi"/>
        </w:rPr>
        <w:t>’</w:t>
      </w:r>
      <w:r w:rsidR="007A54CD" w:rsidRPr="008043D0">
        <w:rPr>
          <w:rFonts w:asciiTheme="minorHAnsi" w:hAnsiTheme="minorHAnsi"/>
        </w:rPr>
        <w:t>s needs which will be assessed</w:t>
      </w:r>
      <w:r w:rsidR="00DA58A4" w:rsidRPr="008043D0">
        <w:rPr>
          <w:rFonts w:asciiTheme="minorHAnsi" w:hAnsiTheme="minorHAnsi"/>
        </w:rPr>
        <w:t xml:space="preserve"> </w:t>
      </w:r>
      <w:r w:rsidR="007A54CD" w:rsidRPr="008043D0">
        <w:rPr>
          <w:rFonts w:asciiTheme="minorHAnsi" w:hAnsiTheme="minorHAnsi"/>
        </w:rPr>
        <w:t>by the following;</w:t>
      </w:r>
    </w:p>
    <w:p w:rsidR="007A54CD" w:rsidRPr="008043D0" w:rsidRDefault="007A54CD" w:rsidP="007A54CD">
      <w:pPr>
        <w:pStyle w:val="Default"/>
        <w:ind w:left="720" w:hanging="720"/>
        <w:rPr>
          <w:rFonts w:asciiTheme="minorHAnsi" w:hAnsiTheme="minorHAnsi"/>
        </w:rPr>
      </w:pPr>
    </w:p>
    <w:p w:rsidR="007A54CD" w:rsidRPr="008043D0" w:rsidRDefault="007A54CD" w:rsidP="007A54CD">
      <w:pPr>
        <w:pStyle w:val="ListParagraph"/>
        <w:numPr>
          <w:ilvl w:val="0"/>
          <w:numId w:val="15"/>
        </w:numPr>
        <w:autoSpaceDE w:val="0"/>
        <w:autoSpaceDN w:val="0"/>
        <w:adjustRightInd w:val="0"/>
        <w:spacing w:after="36" w:line="240" w:lineRule="auto"/>
        <w:rPr>
          <w:rFonts w:cs="Arial"/>
          <w:color w:val="000000"/>
          <w:sz w:val="24"/>
          <w:szCs w:val="24"/>
        </w:rPr>
      </w:pPr>
      <w:r w:rsidRPr="008043D0">
        <w:rPr>
          <w:rFonts w:cs="Arial"/>
          <w:color w:val="000000"/>
          <w:sz w:val="24"/>
          <w:szCs w:val="24"/>
        </w:rPr>
        <w:t xml:space="preserve">Apartment size according to confirmed family complement; </w:t>
      </w:r>
    </w:p>
    <w:p w:rsidR="007A54CD" w:rsidRPr="008043D0" w:rsidRDefault="007A54CD" w:rsidP="007A54CD">
      <w:pPr>
        <w:pStyle w:val="ListParagraph"/>
        <w:numPr>
          <w:ilvl w:val="0"/>
          <w:numId w:val="15"/>
        </w:numPr>
        <w:autoSpaceDE w:val="0"/>
        <w:autoSpaceDN w:val="0"/>
        <w:adjustRightInd w:val="0"/>
        <w:spacing w:after="36" w:line="240" w:lineRule="auto"/>
        <w:rPr>
          <w:rFonts w:cs="Arial"/>
          <w:color w:val="000000"/>
          <w:sz w:val="24"/>
          <w:szCs w:val="24"/>
        </w:rPr>
      </w:pPr>
      <w:r w:rsidRPr="008043D0">
        <w:rPr>
          <w:rFonts w:cs="Arial"/>
          <w:color w:val="000000"/>
          <w:sz w:val="24"/>
          <w:szCs w:val="24"/>
        </w:rPr>
        <w:t xml:space="preserve">Location for specific </w:t>
      </w:r>
      <w:r w:rsidR="00DA58A4" w:rsidRPr="008043D0">
        <w:rPr>
          <w:rFonts w:cs="Arial"/>
          <w:color w:val="000000"/>
          <w:sz w:val="24"/>
          <w:szCs w:val="24"/>
        </w:rPr>
        <w:t>reasons, such as work or school;</w:t>
      </w:r>
    </w:p>
    <w:p w:rsidR="00185BB2" w:rsidRPr="008043D0" w:rsidRDefault="00FB1DD3" w:rsidP="00CA26DB">
      <w:pPr>
        <w:pStyle w:val="ListParagraph"/>
        <w:numPr>
          <w:ilvl w:val="0"/>
          <w:numId w:val="15"/>
        </w:numPr>
        <w:autoSpaceDE w:val="0"/>
        <w:autoSpaceDN w:val="0"/>
        <w:adjustRightInd w:val="0"/>
        <w:spacing w:after="0" w:line="240" w:lineRule="auto"/>
        <w:rPr>
          <w:rFonts w:cs="Arial"/>
          <w:color w:val="000000"/>
          <w:sz w:val="24"/>
          <w:szCs w:val="24"/>
        </w:rPr>
      </w:pPr>
      <w:r>
        <w:rPr>
          <w:rFonts w:cs="Arial"/>
          <w:color w:val="000000"/>
          <w:sz w:val="24"/>
          <w:szCs w:val="24"/>
        </w:rPr>
        <w:t>Customers</w:t>
      </w:r>
      <w:r w:rsidR="00DA58A4" w:rsidRPr="008043D0">
        <w:rPr>
          <w:rFonts w:cs="Arial"/>
          <w:color w:val="000000"/>
          <w:sz w:val="24"/>
          <w:szCs w:val="24"/>
        </w:rPr>
        <w:t xml:space="preserve"> stated preference;</w:t>
      </w:r>
    </w:p>
    <w:p w:rsidR="001D4936" w:rsidRPr="008043D0" w:rsidRDefault="001D4936" w:rsidP="00FB1DD3">
      <w:pPr>
        <w:spacing w:after="0" w:line="240" w:lineRule="auto"/>
        <w:rPr>
          <w:rFonts w:cs="Arial"/>
          <w:sz w:val="24"/>
          <w:szCs w:val="24"/>
        </w:rPr>
      </w:pPr>
    </w:p>
    <w:p w:rsidR="001D4936" w:rsidRPr="008043D0" w:rsidRDefault="00367E04" w:rsidP="001D4936">
      <w:pPr>
        <w:pStyle w:val="Default"/>
        <w:ind w:left="720" w:hanging="720"/>
        <w:rPr>
          <w:rFonts w:asciiTheme="minorHAnsi" w:hAnsiTheme="minorHAnsi"/>
        </w:rPr>
      </w:pPr>
      <w:r w:rsidRPr="008043D0">
        <w:rPr>
          <w:rFonts w:asciiTheme="minorHAnsi" w:hAnsiTheme="minorHAnsi"/>
        </w:rPr>
        <w:t>6</w:t>
      </w:r>
      <w:r w:rsidR="00DA70E7">
        <w:rPr>
          <w:rFonts w:asciiTheme="minorHAnsi" w:hAnsiTheme="minorHAnsi"/>
        </w:rPr>
        <w:t>.8</w:t>
      </w:r>
      <w:r w:rsidR="001D4936" w:rsidRPr="008043D0">
        <w:rPr>
          <w:rFonts w:asciiTheme="minorHAnsi" w:hAnsiTheme="minorHAnsi"/>
        </w:rPr>
        <w:tab/>
        <w:t>The following extra fees may be given if a customer who is staying in a hotel or other place of lodging without a kitchen or laundry facilities.  This allowance will be as follows;</w:t>
      </w:r>
    </w:p>
    <w:p w:rsidR="001D4936" w:rsidRPr="008043D0" w:rsidRDefault="001D4936" w:rsidP="001D4936">
      <w:pPr>
        <w:pStyle w:val="Default"/>
        <w:ind w:left="720" w:hanging="720"/>
        <w:rPr>
          <w:rFonts w:asciiTheme="minorHAnsi" w:hAnsiTheme="minorHAnsi"/>
        </w:rPr>
      </w:pPr>
    </w:p>
    <w:p w:rsidR="001D4936" w:rsidRPr="008043D0" w:rsidRDefault="001D4936" w:rsidP="001D4936">
      <w:pPr>
        <w:pStyle w:val="Default"/>
        <w:ind w:left="720"/>
        <w:rPr>
          <w:rFonts w:asciiTheme="minorHAnsi" w:hAnsiTheme="minorHAnsi"/>
          <w:b/>
        </w:rPr>
      </w:pPr>
      <w:r w:rsidRPr="008043D0">
        <w:rPr>
          <w:rFonts w:asciiTheme="minorHAnsi" w:hAnsiTheme="minorHAnsi"/>
          <w:b/>
        </w:rPr>
        <w:t>£15 pounds per day per adult (per day)</w:t>
      </w:r>
    </w:p>
    <w:p w:rsidR="001D4936" w:rsidRPr="008043D0" w:rsidRDefault="001D4936" w:rsidP="001D4936">
      <w:pPr>
        <w:pStyle w:val="Default"/>
        <w:ind w:left="720"/>
        <w:rPr>
          <w:rFonts w:asciiTheme="minorHAnsi" w:hAnsiTheme="minorHAnsi"/>
          <w:b/>
        </w:rPr>
      </w:pPr>
      <w:r w:rsidRPr="008043D0">
        <w:rPr>
          <w:rFonts w:asciiTheme="minorHAnsi" w:hAnsiTheme="minorHAnsi"/>
          <w:b/>
        </w:rPr>
        <w:t>£10 pounds per day per child under 16 (per day)</w:t>
      </w:r>
    </w:p>
    <w:p w:rsidR="00E124F8" w:rsidRPr="008043D0" w:rsidRDefault="00E124F8" w:rsidP="001D4936">
      <w:pPr>
        <w:pStyle w:val="Default"/>
        <w:ind w:left="720"/>
        <w:rPr>
          <w:rFonts w:asciiTheme="minorHAnsi" w:hAnsiTheme="minorHAnsi"/>
          <w:b/>
          <w:sz w:val="23"/>
          <w:szCs w:val="23"/>
        </w:rPr>
      </w:pPr>
    </w:p>
    <w:p w:rsidR="004E172F" w:rsidRPr="008043D0" w:rsidRDefault="00367E04" w:rsidP="004E172F">
      <w:pPr>
        <w:spacing w:after="0" w:line="240" w:lineRule="auto"/>
        <w:ind w:left="720" w:hanging="720"/>
        <w:rPr>
          <w:rFonts w:cs="Arial"/>
          <w:sz w:val="24"/>
          <w:szCs w:val="24"/>
        </w:rPr>
      </w:pPr>
      <w:r w:rsidRPr="008043D0">
        <w:rPr>
          <w:rFonts w:cs="Arial"/>
          <w:sz w:val="24"/>
          <w:szCs w:val="24"/>
        </w:rPr>
        <w:t>6</w:t>
      </w:r>
      <w:r w:rsidR="00DA70E7">
        <w:rPr>
          <w:rFonts w:cs="Arial"/>
          <w:sz w:val="24"/>
          <w:szCs w:val="24"/>
        </w:rPr>
        <w:t>.9</w:t>
      </w:r>
      <w:r w:rsidR="004E73FF" w:rsidRPr="008043D0">
        <w:rPr>
          <w:rFonts w:cs="Arial"/>
          <w:sz w:val="24"/>
          <w:szCs w:val="24"/>
        </w:rPr>
        <w:tab/>
        <w:t>The Associa</w:t>
      </w:r>
      <w:r w:rsidR="004E172F" w:rsidRPr="008043D0">
        <w:rPr>
          <w:rFonts w:cs="Arial"/>
          <w:sz w:val="24"/>
          <w:szCs w:val="24"/>
        </w:rPr>
        <w:t>t</w:t>
      </w:r>
      <w:r w:rsidR="004E73FF" w:rsidRPr="008043D0">
        <w:rPr>
          <w:rFonts w:cs="Arial"/>
          <w:sz w:val="24"/>
          <w:szCs w:val="24"/>
        </w:rPr>
        <w:t>i</w:t>
      </w:r>
      <w:r w:rsidR="004E172F" w:rsidRPr="008043D0">
        <w:rPr>
          <w:rFonts w:cs="Arial"/>
          <w:sz w:val="24"/>
          <w:szCs w:val="24"/>
        </w:rPr>
        <w:t>on will consider decanting a customer to temporary accommodation for the following situations;</w:t>
      </w:r>
    </w:p>
    <w:p w:rsidR="004E172F" w:rsidRPr="008043D0" w:rsidRDefault="004E172F" w:rsidP="004E172F">
      <w:pPr>
        <w:spacing w:after="0" w:line="240" w:lineRule="auto"/>
        <w:ind w:left="720" w:hanging="720"/>
        <w:rPr>
          <w:rFonts w:cs="Arial"/>
          <w:sz w:val="24"/>
          <w:szCs w:val="24"/>
        </w:rPr>
      </w:pPr>
    </w:p>
    <w:p w:rsidR="004E172F" w:rsidRDefault="004E172F" w:rsidP="008F5AB4">
      <w:pPr>
        <w:pStyle w:val="ListParagraph"/>
        <w:numPr>
          <w:ilvl w:val="0"/>
          <w:numId w:val="14"/>
        </w:numPr>
        <w:spacing w:after="0" w:line="240" w:lineRule="auto"/>
        <w:rPr>
          <w:rFonts w:cs="Arial"/>
          <w:sz w:val="24"/>
          <w:szCs w:val="24"/>
        </w:rPr>
      </w:pPr>
      <w:r w:rsidRPr="00572A6F">
        <w:rPr>
          <w:rFonts w:cs="Arial"/>
          <w:sz w:val="24"/>
          <w:szCs w:val="24"/>
        </w:rPr>
        <w:t xml:space="preserve">Any planned works or programme’s that </w:t>
      </w:r>
      <w:r w:rsidR="00572A6F" w:rsidRPr="00572A6F">
        <w:rPr>
          <w:rFonts w:cs="Arial"/>
          <w:sz w:val="24"/>
          <w:szCs w:val="24"/>
        </w:rPr>
        <w:t>would deem a property uninhabitable</w:t>
      </w:r>
      <w:r w:rsidR="00572A6F">
        <w:rPr>
          <w:rFonts w:cs="Arial"/>
          <w:sz w:val="24"/>
          <w:szCs w:val="24"/>
        </w:rPr>
        <w:t>, in general terms all planned works would include the tenant remaining in the property.</w:t>
      </w:r>
    </w:p>
    <w:p w:rsidR="00572A6F" w:rsidRDefault="00572A6F" w:rsidP="00572A6F">
      <w:pPr>
        <w:pStyle w:val="ListParagraph"/>
        <w:spacing w:after="0" w:line="240" w:lineRule="auto"/>
        <w:rPr>
          <w:rFonts w:cs="Arial"/>
          <w:sz w:val="24"/>
          <w:szCs w:val="24"/>
        </w:rPr>
      </w:pPr>
    </w:p>
    <w:p w:rsidR="004E172F" w:rsidRPr="008043D0" w:rsidRDefault="004E172F" w:rsidP="00572A6F">
      <w:pPr>
        <w:pStyle w:val="ListParagraph"/>
        <w:numPr>
          <w:ilvl w:val="0"/>
          <w:numId w:val="14"/>
        </w:numPr>
        <w:spacing w:after="0" w:line="240" w:lineRule="auto"/>
        <w:rPr>
          <w:rFonts w:cs="Arial"/>
          <w:sz w:val="24"/>
          <w:szCs w:val="24"/>
        </w:rPr>
      </w:pPr>
      <w:r w:rsidRPr="008043D0">
        <w:rPr>
          <w:rFonts w:cs="Arial"/>
          <w:sz w:val="24"/>
          <w:szCs w:val="24"/>
        </w:rPr>
        <w:t>The customers continued occupancy of the property raises health and safety concerns or where our customers can experience health issues as a result of the nature of any works.</w:t>
      </w:r>
    </w:p>
    <w:p w:rsidR="004E172F" w:rsidRPr="008043D0" w:rsidRDefault="004E172F" w:rsidP="004E172F">
      <w:pPr>
        <w:pStyle w:val="ListParagraph"/>
        <w:rPr>
          <w:rFonts w:cs="Arial"/>
          <w:sz w:val="24"/>
          <w:szCs w:val="24"/>
        </w:rPr>
      </w:pPr>
    </w:p>
    <w:p w:rsidR="00572A6F" w:rsidRDefault="00572A6F" w:rsidP="004E172F">
      <w:pPr>
        <w:pStyle w:val="ListParagraph"/>
        <w:numPr>
          <w:ilvl w:val="0"/>
          <w:numId w:val="14"/>
        </w:numPr>
        <w:spacing w:after="0" w:line="240" w:lineRule="auto"/>
        <w:rPr>
          <w:rFonts w:cs="Arial"/>
          <w:sz w:val="24"/>
          <w:szCs w:val="24"/>
        </w:rPr>
      </w:pPr>
      <w:r>
        <w:rPr>
          <w:rFonts w:cs="Arial"/>
          <w:sz w:val="24"/>
          <w:szCs w:val="24"/>
        </w:rPr>
        <w:t>Individual circumstances or context of the customer and their requirements, i.e. care provision in place, capacity to understand the health and safety risks.</w:t>
      </w:r>
    </w:p>
    <w:p w:rsidR="00572A6F" w:rsidRPr="00572A6F" w:rsidRDefault="00572A6F" w:rsidP="00572A6F">
      <w:pPr>
        <w:pStyle w:val="ListParagraph"/>
        <w:rPr>
          <w:rFonts w:cs="Arial"/>
          <w:sz w:val="24"/>
          <w:szCs w:val="24"/>
        </w:rPr>
      </w:pPr>
    </w:p>
    <w:p w:rsidR="004E172F" w:rsidRPr="008043D0" w:rsidRDefault="004E172F" w:rsidP="004E172F">
      <w:pPr>
        <w:pStyle w:val="ListParagraph"/>
        <w:numPr>
          <w:ilvl w:val="0"/>
          <w:numId w:val="14"/>
        </w:numPr>
        <w:spacing w:after="0" w:line="240" w:lineRule="auto"/>
        <w:rPr>
          <w:rFonts w:cs="Arial"/>
          <w:sz w:val="24"/>
          <w:szCs w:val="24"/>
        </w:rPr>
      </w:pPr>
      <w:r w:rsidRPr="008043D0">
        <w:rPr>
          <w:rFonts w:cs="Arial"/>
          <w:sz w:val="24"/>
          <w:szCs w:val="24"/>
        </w:rPr>
        <w:t>We are confident that moving our customer elsewhere would improve the efficiency, effectiveness, and safety of eliminating any danger</w:t>
      </w:r>
      <w:r w:rsidR="004E73FF" w:rsidRPr="008043D0">
        <w:rPr>
          <w:rFonts w:cs="Arial"/>
          <w:sz w:val="24"/>
          <w:szCs w:val="24"/>
        </w:rPr>
        <w:t xml:space="preserve"> of harm or injury to our cus</w:t>
      </w:r>
      <w:r w:rsidRPr="008043D0">
        <w:rPr>
          <w:rFonts w:cs="Arial"/>
          <w:sz w:val="24"/>
          <w:szCs w:val="24"/>
        </w:rPr>
        <w:t>t</w:t>
      </w:r>
      <w:r w:rsidR="004E73FF" w:rsidRPr="008043D0">
        <w:rPr>
          <w:rFonts w:cs="Arial"/>
          <w:sz w:val="24"/>
          <w:szCs w:val="24"/>
        </w:rPr>
        <w:t>o</w:t>
      </w:r>
      <w:r w:rsidRPr="008043D0">
        <w:rPr>
          <w:rFonts w:cs="Arial"/>
          <w:sz w:val="24"/>
          <w:szCs w:val="24"/>
        </w:rPr>
        <w:t>mers or any other members of the household.</w:t>
      </w:r>
    </w:p>
    <w:p w:rsidR="004E172F" w:rsidRPr="008043D0" w:rsidRDefault="004E172F" w:rsidP="004E172F">
      <w:pPr>
        <w:spacing w:after="0" w:line="240" w:lineRule="auto"/>
        <w:rPr>
          <w:rFonts w:cs="Arial"/>
          <w:sz w:val="24"/>
          <w:szCs w:val="24"/>
        </w:rPr>
      </w:pPr>
    </w:p>
    <w:p w:rsidR="00185BB2" w:rsidRPr="008043D0" w:rsidRDefault="00DA70E7" w:rsidP="00FA2E54">
      <w:pPr>
        <w:spacing w:after="0" w:line="240" w:lineRule="auto"/>
        <w:ind w:left="720" w:hanging="720"/>
        <w:rPr>
          <w:rFonts w:cs="Arial"/>
          <w:sz w:val="24"/>
          <w:szCs w:val="24"/>
        </w:rPr>
      </w:pPr>
      <w:r>
        <w:rPr>
          <w:rFonts w:cs="Arial"/>
          <w:sz w:val="24"/>
          <w:szCs w:val="24"/>
        </w:rPr>
        <w:t>6.10</w:t>
      </w:r>
      <w:r w:rsidR="001D4936" w:rsidRPr="008043D0">
        <w:rPr>
          <w:rFonts w:cs="Arial"/>
          <w:sz w:val="24"/>
          <w:szCs w:val="24"/>
        </w:rPr>
        <w:tab/>
        <w:t>The customer will be required to sign an occupancy agreement for the decanted property as part of the decant procedure, guaranteeing that they will resume their tenancy after the repair is completed.</w:t>
      </w:r>
    </w:p>
    <w:p w:rsidR="001D4936" w:rsidRPr="008043D0" w:rsidRDefault="001D4936" w:rsidP="00FA2E54">
      <w:pPr>
        <w:spacing w:after="0" w:line="240" w:lineRule="auto"/>
        <w:ind w:left="720" w:hanging="720"/>
        <w:rPr>
          <w:rFonts w:cs="Arial"/>
          <w:sz w:val="24"/>
          <w:szCs w:val="24"/>
        </w:rPr>
      </w:pPr>
    </w:p>
    <w:p w:rsidR="001D4936" w:rsidRPr="008043D0" w:rsidRDefault="00A80FF1" w:rsidP="00FA2E54">
      <w:pPr>
        <w:spacing w:after="0" w:line="240" w:lineRule="auto"/>
        <w:ind w:left="720" w:hanging="720"/>
        <w:rPr>
          <w:rFonts w:cs="Arial"/>
          <w:sz w:val="24"/>
          <w:szCs w:val="24"/>
        </w:rPr>
      </w:pPr>
      <w:r>
        <w:rPr>
          <w:rFonts w:cs="Arial"/>
          <w:sz w:val="24"/>
          <w:szCs w:val="24"/>
        </w:rPr>
        <w:t>6.11</w:t>
      </w:r>
      <w:r w:rsidR="001D4936" w:rsidRPr="008043D0">
        <w:rPr>
          <w:rFonts w:cs="Arial"/>
          <w:sz w:val="24"/>
          <w:szCs w:val="24"/>
        </w:rPr>
        <w:tab/>
        <w:t>The rent for the permanent tenancy will continue to be charged rental cost regardless of the rental rate at the decant property.  The Association as part of our procedure will file an insurance claim to recover the missed rent at the temporary, decant address.</w:t>
      </w:r>
    </w:p>
    <w:p w:rsidR="001D4936" w:rsidRPr="008043D0" w:rsidRDefault="001D4936" w:rsidP="00FA2E54">
      <w:pPr>
        <w:spacing w:after="0" w:line="240" w:lineRule="auto"/>
        <w:ind w:left="720" w:hanging="720"/>
        <w:rPr>
          <w:rFonts w:cs="Arial"/>
          <w:sz w:val="24"/>
          <w:szCs w:val="24"/>
        </w:rPr>
      </w:pPr>
    </w:p>
    <w:p w:rsidR="001D4936" w:rsidRPr="008043D0" w:rsidRDefault="00A80FF1" w:rsidP="00FA2E54">
      <w:pPr>
        <w:spacing w:after="0" w:line="240" w:lineRule="auto"/>
        <w:ind w:left="720" w:hanging="720"/>
        <w:rPr>
          <w:rFonts w:cs="Arial"/>
          <w:sz w:val="24"/>
          <w:szCs w:val="24"/>
        </w:rPr>
      </w:pPr>
      <w:r>
        <w:rPr>
          <w:rFonts w:cs="Arial"/>
          <w:sz w:val="24"/>
          <w:szCs w:val="24"/>
        </w:rPr>
        <w:t>6.12</w:t>
      </w:r>
      <w:r w:rsidR="001D4936" w:rsidRPr="008043D0">
        <w:rPr>
          <w:rFonts w:cs="Arial"/>
          <w:sz w:val="24"/>
          <w:szCs w:val="24"/>
        </w:rPr>
        <w:tab/>
        <w:t>The Assoc</w:t>
      </w:r>
      <w:r w:rsidR="004E73FF" w:rsidRPr="008043D0">
        <w:rPr>
          <w:rFonts w:cs="Arial"/>
          <w:sz w:val="24"/>
          <w:szCs w:val="24"/>
        </w:rPr>
        <w:t>iation</w:t>
      </w:r>
      <w:r w:rsidR="001D4936" w:rsidRPr="008043D0">
        <w:rPr>
          <w:rFonts w:cs="Arial"/>
          <w:sz w:val="24"/>
          <w:szCs w:val="24"/>
        </w:rPr>
        <w:t xml:space="preserve"> will notify Glasgow City Council, Council Tax Department, that the customer is occupying the decant address and notify the customer that they are responsible for paying the council tax at the decant address.</w:t>
      </w:r>
    </w:p>
    <w:p w:rsidR="001D4936" w:rsidRPr="008043D0" w:rsidRDefault="001D4936" w:rsidP="00FA2E54">
      <w:pPr>
        <w:spacing w:after="0" w:line="240" w:lineRule="auto"/>
        <w:ind w:left="720" w:hanging="720"/>
        <w:rPr>
          <w:rFonts w:cs="Arial"/>
          <w:sz w:val="24"/>
          <w:szCs w:val="24"/>
        </w:rPr>
      </w:pPr>
    </w:p>
    <w:p w:rsidR="002A0680" w:rsidRDefault="00A80FF1" w:rsidP="004E73FF">
      <w:pPr>
        <w:spacing w:after="0" w:line="240" w:lineRule="auto"/>
        <w:ind w:left="720" w:hanging="720"/>
        <w:rPr>
          <w:rFonts w:cs="Arial"/>
          <w:sz w:val="24"/>
          <w:szCs w:val="24"/>
        </w:rPr>
      </w:pPr>
      <w:r>
        <w:rPr>
          <w:rFonts w:cs="Arial"/>
          <w:sz w:val="24"/>
          <w:szCs w:val="24"/>
        </w:rPr>
        <w:t>6.13</w:t>
      </w:r>
      <w:r w:rsidR="001D4936" w:rsidRPr="008043D0">
        <w:rPr>
          <w:rFonts w:cs="Arial"/>
          <w:sz w:val="24"/>
          <w:szCs w:val="24"/>
        </w:rPr>
        <w:tab/>
        <w:t xml:space="preserve">If the </w:t>
      </w:r>
      <w:r w:rsidR="004E172F" w:rsidRPr="008043D0">
        <w:rPr>
          <w:rFonts w:cs="Arial"/>
          <w:sz w:val="24"/>
          <w:szCs w:val="24"/>
        </w:rPr>
        <w:t xml:space="preserve">customers on housing benefit </w:t>
      </w:r>
      <w:r w:rsidR="001D4936" w:rsidRPr="008043D0">
        <w:rPr>
          <w:rFonts w:cs="Arial"/>
          <w:sz w:val="24"/>
          <w:szCs w:val="24"/>
        </w:rPr>
        <w:t xml:space="preserve">will continue to be paid for their permanent tenancy. We will notify Housing Benefits of the change of address and </w:t>
      </w:r>
      <w:r w:rsidR="005D5897" w:rsidRPr="008043D0">
        <w:rPr>
          <w:rFonts w:cs="Arial"/>
          <w:sz w:val="24"/>
          <w:szCs w:val="24"/>
        </w:rPr>
        <w:t>advice</w:t>
      </w:r>
      <w:r w:rsidR="001D4936" w:rsidRPr="008043D0">
        <w:rPr>
          <w:rFonts w:cs="Arial"/>
          <w:sz w:val="24"/>
          <w:szCs w:val="24"/>
        </w:rPr>
        <w:t xml:space="preserve"> that it </w:t>
      </w:r>
      <w:r w:rsidR="001D4936" w:rsidRPr="008043D0">
        <w:rPr>
          <w:rFonts w:cs="Arial"/>
          <w:sz w:val="24"/>
          <w:szCs w:val="24"/>
        </w:rPr>
        <w:lastRenderedPageBreak/>
        <w:t>is only a temporary decant address.</w:t>
      </w:r>
      <w:r w:rsidR="004E172F" w:rsidRPr="008043D0">
        <w:rPr>
          <w:rFonts w:cs="Arial"/>
          <w:sz w:val="24"/>
          <w:szCs w:val="24"/>
        </w:rPr>
        <w:t xml:space="preserve">  Customers</w:t>
      </w:r>
      <w:r w:rsidR="001D4936" w:rsidRPr="008043D0">
        <w:rPr>
          <w:rFonts w:cs="Arial"/>
          <w:sz w:val="24"/>
          <w:szCs w:val="24"/>
        </w:rPr>
        <w:t xml:space="preserve"> on Universal Credit will continue to receive their rent element as normal for their permanent tenancy.</w:t>
      </w:r>
    </w:p>
    <w:p w:rsidR="00FB1DD3" w:rsidRDefault="00FB1DD3" w:rsidP="004E73FF">
      <w:pPr>
        <w:spacing w:after="0" w:line="240" w:lineRule="auto"/>
        <w:ind w:left="720" w:hanging="720"/>
        <w:rPr>
          <w:rFonts w:cs="Arial"/>
          <w:sz w:val="24"/>
          <w:szCs w:val="24"/>
        </w:rPr>
      </w:pPr>
    </w:p>
    <w:p w:rsidR="00572A6F" w:rsidRDefault="00A80FF1" w:rsidP="00DA70E7">
      <w:pPr>
        <w:spacing w:after="0" w:line="240" w:lineRule="auto"/>
        <w:ind w:left="720" w:hanging="720"/>
        <w:rPr>
          <w:rFonts w:cs="Arial"/>
          <w:sz w:val="24"/>
          <w:szCs w:val="24"/>
        </w:rPr>
      </w:pPr>
      <w:r>
        <w:rPr>
          <w:rFonts w:cs="Arial"/>
          <w:sz w:val="24"/>
          <w:szCs w:val="24"/>
        </w:rPr>
        <w:t>6.14</w:t>
      </w:r>
      <w:r w:rsidR="00DA70E7">
        <w:rPr>
          <w:rFonts w:cs="Arial"/>
          <w:sz w:val="24"/>
          <w:szCs w:val="24"/>
        </w:rPr>
        <w:tab/>
        <w:t xml:space="preserve">If a customer refuses to be decanted where it has been identified that </w:t>
      </w:r>
      <w:r w:rsidR="00572A6F">
        <w:rPr>
          <w:rFonts w:cs="Arial"/>
          <w:sz w:val="24"/>
          <w:szCs w:val="24"/>
        </w:rPr>
        <w:t>t</w:t>
      </w:r>
      <w:r w:rsidR="00DA70E7">
        <w:rPr>
          <w:rFonts w:cs="Arial"/>
          <w:sz w:val="24"/>
          <w:szCs w:val="24"/>
        </w:rPr>
        <w:t xml:space="preserve">he property requires extensive repair work and it </w:t>
      </w:r>
      <w:r w:rsidR="00572A6F">
        <w:rPr>
          <w:rFonts w:cs="Arial"/>
          <w:sz w:val="24"/>
          <w:szCs w:val="24"/>
        </w:rPr>
        <w:t>would be a health &amp; safety risk</w:t>
      </w:r>
      <w:r w:rsidR="00DA70E7">
        <w:rPr>
          <w:rFonts w:cs="Arial"/>
          <w:sz w:val="24"/>
          <w:szCs w:val="24"/>
        </w:rPr>
        <w:t xml:space="preserve"> for the customer to remain in the property.  </w:t>
      </w:r>
    </w:p>
    <w:p w:rsidR="00572A6F" w:rsidRDefault="00572A6F" w:rsidP="00572A6F">
      <w:pPr>
        <w:spacing w:after="0" w:line="240" w:lineRule="auto"/>
        <w:ind w:left="720"/>
        <w:rPr>
          <w:rFonts w:cs="Arial"/>
          <w:sz w:val="24"/>
          <w:szCs w:val="24"/>
        </w:rPr>
      </w:pPr>
    </w:p>
    <w:p w:rsidR="00DA70E7" w:rsidRDefault="00572A6F" w:rsidP="00572A6F">
      <w:pPr>
        <w:spacing w:after="0" w:line="240" w:lineRule="auto"/>
        <w:ind w:left="720"/>
        <w:rPr>
          <w:rFonts w:cs="Arial"/>
          <w:sz w:val="24"/>
          <w:szCs w:val="24"/>
        </w:rPr>
      </w:pPr>
      <w:r>
        <w:rPr>
          <w:rFonts w:cs="Arial"/>
          <w:sz w:val="24"/>
          <w:szCs w:val="24"/>
        </w:rPr>
        <w:t>We would work with the customer, their family and any other agencies to understand th</w:t>
      </w:r>
      <w:r w:rsidR="00825507">
        <w:rPr>
          <w:rFonts w:cs="Arial"/>
          <w:sz w:val="24"/>
          <w:szCs w:val="24"/>
        </w:rPr>
        <w:t>e issue and mitigate these were possible.</w:t>
      </w:r>
      <w:r w:rsidR="00DA70E7">
        <w:rPr>
          <w:rFonts w:cs="Arial"/>
          <w:sz w:val="24"/>
          <w:szCs w:val="24"/>
        </w:rPr>
        <w:t xml:space="preserve"> However, if this fails we will take legal action to secure temporary possession of the property.</w:t>
      </w:r>
    </w:p>
    <w:p w:rsidR="00506798" w:rsidRDefault="00506798" w:rsidP="00DA70E7">
      <w:pPr>
        <w:spacing w:after="0" w:line="240" w:lineRule="auto"/>
        <w:ind w:left="720" w:hanging="720"/>
        <w:rPr>
          <w:rFonts w:cs="Arial"/>
          <w:sz w:val="24"/>
          <w:szCs w:val="24"/>
        </w:rPr>
      </w:pPr>
    </w:p>
    <w:p w:rsidR="00506798" w:rsidRDefault="00506798" w:rsidP="00DA70E7">
      <w:pPr>
        <w:spacing w:after="0" w:line="240" w:lineRule="auto"/>
        <w:ind w:left="720" w:hanging="720"/>
        <w:rPr>
          <w:rFonts w:cs="Arial"/>
          <w:sz w:val="24"/>
          <w:szCs w:val="24"/>
        </w:rPr>
      </w:pPr>
      <w:r>
        <w:rPr>
          <w:rFonts w:cs="Arial"/>
          <w:sz w:val="24"/>
          <w:szCs w:val="24"/>
        </w:rPr>
        <w:t>6.15</w:t>
      </w:r>
      <w:r>
        <w:rPr>
          <w:rFonts w:cs="Arial"/>
          <w:sz w:val="24"/>
          <w:szCs w:val="24"/>
        </w:rPr>
        <w:tab/>
        <w:t xml:space="preserve">Any damage caused by a customer at the decanted property identified at our inspection of leaving the property to return to their main property, we will refer to the Associations Recharge Policy.  </w:t>
      </w:r>
    </w:p>
    <w:p w:rsidR="001A540C" w:rsidRPr="008043D0" w:rsidRDefault="001A540C" w:rsidP="00DA70E7">
      <w:pPr>
        <w:spacing w:after="0" w:line="240" w:lineRule="auto"/>
        <w:ind w:left="720" w:hanging="720"/>
        <w:rPr>
          <w:rFonts w:cs="Arial"/>
          <w:sz w:val="24"/>
          <w:szCs w:val="24"/>
        </w:rPr>
      </w:pPr>
    </w:p>
    <w:p w:rsidR="001A540C" w:rsidRDefault="00367E04" w:rsidP="00271625">
      <w:pPr>
        <w:pStyle w:val="Heading1"/>
        <w:spacing w:before="100" w:beforeAutospacing="1"/>
      </w:pPr>
      <w:bookmarkStart w:id="36" w:name="_Toc129768206"/>
      <w:r>
        <w:t>7</w:t>
      </w:r>
      <w:r w:rsidR="00855D59" w:rsidRPr="00883500">
        <w:tab/>
      </w:r>
      <w:r w:rsidR="00DA70E7">
        <w:t>Accommodation Support Criteria</w:t>
      </w:r>
      <w:bookmarkEnd w:id="36"/>
    </w:p>
    <w:p w:rsidR="00271625" w:rsidRDefault="00271625" w:rsidP="00DA70E7">
      <w:pPr>
        <w:ind w:left="720" w:hanging="720"/>
      </w:pPr>
    </w:p>
    <w:p w:rsidR="00721BA7" w:rsidRPr="00CB3D10" w:rsidRDefault="00721BA7" w:rsidP="00DA70E7">
      <w:pPr>
        <w:ind w:left="720" w:hanging="720"/>
        <w:rPr>
          <w:sz w:val="24"/>
          <w:szCs w:val="24"/>
        </w:rPr>
      </w:pPr>
      <w:r w:rsidRPr="00CB3D10">
        <w:rPr>
          <w:sz w:val="24"/>
          <w:szCs w:val="24"/>
        </w:rPr>
        <w:t>7.1</w:t>
      </w:r>
      <w:r w:rsidRPr="00CB3D10">
        <w:rPr>
          <w:sz w:val="24"/>
          <w:szCs w:val="24"/>
        </w:rPr>
        <w:tab/>
        <w:t xml:space="preserve">We understand that customers may find the </w:t>
      </w:r>
      <w:r w:rsidR="00825507">
        <w:rPr>
          <w:sz w:val="24"/>
          <w:szCs w:val="24"/>
        </w:rPr>
        <w:t>be</w:t>
      </w:r>
      <w:r w:rsidRPr="00CB3D10">
        <w:rPr>
          <w:sz w:val="24"/>
          <w:szCs w:val="24"/>
        </w:rPr>
        <w:t>ing decanted to be stressful</w:t>
      </w:r>
      <w:r w:rsidR="00825507">
        <w:rPr>
          <w:sz w:val="24"/>
          <w:szCs w:val="24"/>
        </w:rPr>
        <w:t xml:space="preserve"> and we will apply our policy with the intention to cause the least distress as possible to the customer</w:t>
      </w:r>
      <w:r w:rsidRPr="00CB3D10">
        <w:rPr>
          <w:sz w:val="24"/>
          <w:szCs w:val="24"/>
        </w:rPr>
        <w:t>.  By giving the customer thorough information prior to, during, and after the decant procedure, we hope to minimise this process</w:t>
      </w:r>
      <w:r w:rsidR="00151F8F" w:rsidRPr="00CB3D10">
        <w:rPr>
          <w:sz w:val="24"/>
          <w:szCs w:val="24"/>
        </w:rPr>
        <w:t xml:space="preserve"> as follows;</w:t>
      </w:r>
    </w:p>
    <w:p w:rsidR="0005181E" w:rsidRPr="00CB3D10" w:rsidRDefault="0005181E" w:rsidP="0005181E">
      <w:pPr>
        <w:pStyle w:val="ListParagraph"/>
        <w:numPr>
          <w:ilvl w:val="0"/>
          <w:numId w:val="26"/>
        </w:numPr>
        <w:rPr>
          <w:sz w:val="24"/>
          <w:szCs w:val="24"/>
        </w:rPr>
      </w:pPr>
      <w:r w:rsidRPr="00CB3D10">
        <w:rPr>
          <w:sz w:val="24"/>
          <w:szCs w:val="24"/>
        </w:rPr>
        <w:t>Provide our customers with our decant information pack that sets outs clear information on our process and procedures.</w:t>
      </w:r>
    </w:p>
    <w:p w:rsidR="0005181E" w:rsidRPr="00CB3D10" w:rsidRDefault="0005181E" w:rsidP="0005181E">
      <w:pPr>
        <w:pStyle w:val="ListParagraph"/>
        <w:numPr>
          <w:ilvl w:val="0"/>
          <w:numId w:val="26"/>
        </w:numPr>
        <w:rPr>
          <w:sz w:val="24"/>
          <w:szCs w:val="24"/>
        </w:rPr>
      </w:pPr>
      <w:r w:rsidRPr="00CB3D10">
        <w:rPr>
          <w:sz w:val="24"/>
          <w:szCs w:val="24"/>
        </w:rPr>
        <w:t>Provide clear information on the repair work required and timescale, updating the customer throughout the process</w:t>
      </w:r>
      <w:r w:rsidR="00825507">
        <w:rPr>
          <w:sz w:val="24"/>
          <w:szCs w:val="24"/>
        </w:rPr>
        <w:t>.</w:t>
      </w:r>
    </w:p>
    <w:p w:rsidR="0005181E" w:rsidRPr="00CB3D10" w:rsidRDefault="0005181E" w:rsidP="0005181E">
      <w:pPr>
        <w:pStyle w:val="ListParagraph"/>
        <w:numPr>
          <w:ilvl w:val="0"/>
          <w:numId w:val="26"/>
        </w:numPr>
        <w:rPr>
          <w:sz w:val="24"/>
          <w:szCs w:val="24"/>
        </w:rPr>
      </w:pPr>
      <w:r w:rsidRPr="00CB3D10">
        <w:rPr>
          <w:sz w:val="24"/>
          <w:szCs w:val="24"/>
        </w:rPr>
        <w:t>Provide timescale on discussion with contractors on compl</w:t>
      </w:r>
      <w:r w:rsidR="00825507">
        <w:rPr>
          <w:sz w:val="24"/>
          <w:szCs w:val="24"/>
        </w:rPr>
        <w:t xml:space="preserve">etions of repairs with customer, the RSL will assertively manage the contractor against the timescales provided. </w:t>
      </w:r>
    </w:p>
    <w:p w:rsidR="0005181E" w:rsidRDefault="0005181E" w:rsidP="0005181E">
      <w:pPr>
        <w:pStyle w:val="ListParagraph"/>
        <w:numPr>
          <w:ilvl w:val="0"/>
          <w:numId w:val="26"/>
        </w:numPr>
        <w:rPr>
          <w:sz w:val="24"/>
          <w:szCs w:val="24"/>
        </w:rPr>
      </w:pPr>
      <w:r w:rsidRPr="00CB3D10">
        <w:rPr>
          <w:sz w:val="24"/>
          <w:szCs w:val="24"/>
        </w:rPr>
        <w:t>Provide confirmation of supports and services if required that the Association will put in place.</w:t>
      </w:r>
    </w:p>
    <w:p w:rsidR="00825507" w:rsidRDefault="00825507" w:rsidP="0005181E">
      <w:pPr>
        <w:pStyle w:val="ListParagraph"/>
        <w:numPr>
          <w:ilvl w:val="0"/>
          <w:numId w:val="26"/>
        </w:numPr>
        <w:rPr>
          <w:sz w:val="24"/>
          <w:szCs w:val="24"/>
        </w:rPr>
      </w:pPr>
      <w:r>
        <w:rPr>
          <w:sz w:val="24"/>
          <w:szCs w:val="24"/>
        </w:rPr>
        <w:t>Discu</w:t>
      </w:r>
      <w:r w:rsidR="002B3342">
        <w:rPr>
          <w:sz w:val="24"/>
          <w:szCs w:val="24"/>
        </w:rPr>
        <w:t>ss the decoration standard that will be completed and what will be included; depending on the cause of the decant some of this cost would be recovered by Tenants Contents Insurance.</w:t>
      </w:r>
    </w:p>
    <w:p w:rsidR="00825507" w:rsidRPr="00CB3D10" w:rsidRDefault="00825507" w:rsidP="0005181E">
      <w:pPr>
        <w:pStyle w:val="ListParagraph"/>
        <w:numPr>
          <w:ilvl w:val="0"/>
          <w:numId w:val="26"/>
        </w:numPr>
        <w:rPr>
          <w:sz w:val="24"/>
          <w:szCs w:val="24"/>
        </w:rPr>
      </w:pPr>
      <w:r>
        <w:rPr>
          <w:sz w:val="24"/>
          <w:szCs w:val="24"/>
        </w:rPr>
        <w:t>Replicate the care provision or adaptations that are within their permanent property to the decant accommodation.</w:t>
      </w:r>
    </w:p>
    <w:p w:rsidR="00825507" w:rsidRDefault="00825507" w:rsidP="00D75E15">
      <w:pPr>
        <w:pStyle w:val="ListParagraph"/>
        <w:numPr>
          <w:ilvl w:val="0"/>
          <w:numId w:val="26"/>
        </w:numPr>
        <w:spacing w:after="0"/>
        <w:ind w:hanging="720"/>
        <w:rPr>
          <w:sz w:val="24"/>
          <w:szCs w:val="24"/>
        </w:rPr>
      </w:pPr>
      <w:r w:rsidRPr="00825507">
        <w:rPr>
          <w:sz w:val="24"/>
          <w:szCs w:val="24"/>
        </w:rPr>
        <w:t>Explain and confirm the costs and liability for costs throughou</w:t>
      </w:r>
      <w:r>
        <w:rPr>
          <w:sz w:val="24"/>
          <w:szCs w:val="24"/>
        </w:rPr>
        <w:t>t the decant.</w:t>
      </w:r>
    </w:p>
    <w:p w:rsidR="00825507" w:rsidRDefault="00825507" w:rsidP="00825507">
      <w:pPr>
        <w:pStyle w:val="ListParagraph"/>
        <w:spacing w:after="0"/>
        <w:rPr>
          <w:sz w:val="24"/>
          <w:szCs w:val="24"/>
        </w:rPr>
      </w:pPr>
    </w:p>
    <w:p w:rsidR="00DA70E7" w:rsidRPr="00825507" w:rsidRDefault="00A80FF1" w:rsidP="00825507">
      <w:pPr>
        <w:spacing w:after="0"/>
        <w:ind w:left="720" w:hanging="720"/>
        <w:rPr>
          <w:sz w:val="24"/>
          <w:szCs w:val="24"/>
        </w:rPr>
      </w:pPr>
      <w:r w:rsidRPr="00825507">
        <w:rPr>
          <w:sz w:val="24"/>
          <w:szCs w:val="24"/>
        </w:rPr>
        <w:t>7.2</w:t>
      </w:r>
      <w:r w:rsidR="00DA70E7" w:rsidRPr="00825507">
        <w:rPr>
          <w:sz w:val="24"/>
          <w:szCs w:val="24"/>
        </w:rPr>
        <w:tab/>
      </w:r>
      <w:r w:rsidR="001A540C" w:rsidRPr="00825507">
        <w:rPr>
          <w:sz w:val="24"/>
          <w:szCs w:val="24"/>
        </w:rPr>
        <w:t>When a customer is being transferred to one of our own properties, we will take the following steps to support the customer and attempt to minimise disruptions where possible;</w:t>
      </w:r>
    </w:p>
    <w:p w:rsidR="00271625" w:rsidRPr="00CB3D10" w:rsidRDefault="00271625" w:rsidP="00271625">
      <w:pPr>
        <w:spacing w:after="0"/>
        <w:ind w:left="720" w:hanging="720"/>
        <w:rPr>
          <w:sz w:val="24"/>
          <w:szCs w:val="24"/>
        </w:rPr>
      </w:pPr>
    </w:p>
    <w:p w:rsidR="00825507" w:rsidRPr="00CB3D10" w:rsidRDefault="00825507" w:rsidP="00825507">
      <w:pPr>
        <w:pStyle w:val="ListParagraph"/>
        <w:numPr>
          <w:ilvl w:val="0"/>
          <w:numId w:val="23"/>
        </w:numPr>
        <w:spacing w:after="0"/>
        <w:rPr>
          <w:sz w:val="24"/>
          <w:szCs w:val="24"/>
        </w:rPr>
      </w:pPr>
      <w:r w:rsidRPr="00CB3D10">
        <w:rPr>
          <w:sz w:val="24"/>
          <w:szCs w:val="24"/>
        </w:rPr>
        <w:lastRenderedPageBreak/>
        <w:t>If the customer receives</w:t>
      </w:r>
      <w:r>
        <w:rPr>
          <w:sz w:val="24"/>
          <w:szCs w:val="24"/>
        </w:rPr>
        <w:t xml:space="preserve"> support services e.g. emergency alarm, </w:t>
      </w:r>
      <w:r w:rsidRPr="00CB3D10">
        <w:rPr>
          <w:sz w:val="24"/>
          <w:szCs w:val="24"/>
        </w:rPr>
        <w:t>care services or meals on wheels, we will liaise with the appropriate service to be transferred to the decant property on a temporary basis;</w:t>
      </w:r>
    </w:p>
    <w:p w:rsidR="001A540C" w:rsidRPr="00CB3D10" w:rsidRDefault="001A540C" w:rsidP="001A540C">
      <w:pPr>
        <w:pStyle w:val="ListParagraph"/>
        <w:numPr>
          <w:ilvl w:val="0"/>
          <w:numId w:val="23"/>
        </w:numPr>
        <w:rPr>
          <w:sz w:val="24"/>
          <w:szCs w:val="24"/>
        </w:rPr>
      </w:pPr>
      <w:r w:rsidRPr="00CB3D10">
        <w:rPr>
          <w:sz w:val="24"/>
          <w:szCs w:val="24"/>
        </w:rPr>
        <w:t xml:space="preserve">Arrange furniture </w:t>
      </w:r>
      <w:r w:rsidR="00CB3D10" w:rsidRPr="00CB3D10">
        <w:rPr>
          <w:sz w:val="24"/>
          <w:szCs w:val="24"/>
        </w:rPr>
        <w:t xml:space="preserve">removal with a company that </w:t>
      </w:r>
      <w:r w:rsidR="00825507">
        <w:rPr>
          <w:sz w:val="24"/>
          <w:szCs w:val="24"/>
        </w:rPr>
        <w:t>provides insurance for any a</w:t>
      </w:r>
      <w:r w:rsidRPr="00CB3D10">
        <w:rPr>
          <w:sz w:val="24"/>
          <w:szCs w:val="24"/>
        </w:rPr>
        <w:t xml:space="preserve">ccidental damage cost while carrying out the removal.  </w:t>
      </w:r>
    </w:p>
    <w:p w:rsidR="001A540C" w:rsidRPr="00CB3D10" w:rsidRDefault="00825507" w:rsidP="001A540C">
      <w:pPr>
        <w:pStyle w:val="ListParagraph"/>
        <w:numPr>
          <w:ilvl w:val="0"/>
          <w:numId w:val="22"/>
        </w:numPr>
        <w:spacing w:after="0"/>
        <w:rPr>
          <w:sz w:val="24"/>
          <w:szCs w:val="24"/>
        </w:rPr>
      </w:pPr>
      <w:r>
        <w:rPr>
          <w:sz w:val="24"/>
          <w:szCs w:val="24"/>
        </w:rPr>
        <w:t>Give consideration to</w:t>
      </w:r>
      <w:r w:rsidR="001A540C" w:rsidRPr="00CB3D10">
        <w:rPr>
          <w:sz w:val="24"/>
          <w:szCs w:val="24"/>
        </w:rPr>
        <w:t xml:space="preserve"> floor coverings and blinds throughout the property if required;</w:t>
      </w:r>
    </w:p>
    <w:p w:rsidR="001A540C" w:rsidRPr="00CB3D10" w:rsidRDefault="001A540C" w:rsidP="001A540C">
      <w:pPr>
        <w:pStyle w:val="ListParagraph"/>
        <w:numPr>
          <w:ilvl w:val="0"/>
          <w:numId w:val="22"/>
        </w:numPr>
        <w:spacing w:after="0"/>
        <w:rPr>
          <w:sz w:val="24"/>
          <w:szCs w:val="24"/>
        </w:rPr>
      </w:pPr>
      <w:r w:rsidRPr="00CB3D10">
        <w:rPr>
          <w:sz w:val="24"/>
          <w:szCs w:val="24"/>
        </w:rPr>
        <w:t>Provide Glasgow City Council with notification of Council Tax change of address;</w:t>
      </w:r>
    </w:p>
    <w:p w:rsidR="001A540C" w:rsidRPr="00CB3D10" w:rsidRDefault="001A540C" w:rsidP="001A540C">
      <w:pPr>
        <w:pStyle w:val="ListParagraph"/>
        <w:numPr>
          <w:ilvl w:val="0"/>
          <w:numId w:val="22"/>
        </w:numPr>
        <w:spacing w:after="0"/>
        <w:rPr>
          <w:sz w:val="24"/>
          <w:szCs w:val="24"/>
        </w:rPr>
      </w:pPr>
      <w:r w:rsidRPr="00CB3D10">
        <w:rPr>
          <w:sz w:val="24"/>
          <w:szCs w:val="24"/>
        </w:rPr>
        <w:t xml:space="preserve">To provide electrical appliance disconnection/reconnection, </w:t>
      </w:r>
      <w:r w:rsidR="0005181E" w:rsidRPr="00CB3D10">
        <w:rPr>
          <w:sz w:val="24"/>
          <w:szCs w:val="24"/>
        </w:rPr>
        <w:t>i.e.</w:t>
      </w:r>
      <w:r w:rsidRPr="00CB3D10">
        <w:rPr>
          <w:sz w:val="24"/>
          <w:szCs w:val="24"/>
        </w:rPr>
        <w:t xml:space="preserve"> cooker, washing machine;</w:t>
      </w:r>
    </w:p>
    <w:p w:rsidR="001A540C" w:rsidRPr="00CB3D10" w:rsidRDefault="0005181E" w:rsidP="001A540C">
      <w:pPr>
        <w:pStyle w:val="ListParagraph"/>
        <w:numPr>
          <w:ilvl w:val="0"/>
          <w:numId w:val="22"/>
        </w:numPr>
        <w:spacing w:after="0"/>
        <w:rPr>
          <w:sz w:val="24"/>
          <w:szCs w:val="24"/>
        </w:rPr>
      </w:pPr>
      <w:r w:rsidRPr="00CB3D10">
        <w:rPr>
          <w:sz w:val="24"/>
          <w:szCs w:val="24"/>
        </w:rPr>
        <w:t>Reimburse</w:t>
      </w:r>
      <w:r w:rsidR="001A540C" w:rsidRPr="00CB3D10">
        <w:rPr>
          <w:sz w:val="24"/>
          <w:szCs w:val="24"/>
        </w:rPr>
        <w:t xml:space="preserve"> the customer for mail redirection cost;</w:t>
      </w:r>
    </w:p>
    <w:p w:rsidR="001A540C" w:rsidRPr="00CB3D10" w:rsidRDefault="001A540C" w:rsidP="001A540C">
      <w:pPr>
        <w:pStyle w:val="ListParagraph"/>
        <w:numPr>
          <w:ilvl w:val="0"/>
          <w:numId w:val="22"/>
        </w:numPr>
        <w:spacing w:after="0"/>
        <w:rPr>
          <w:sz w:val="24"/>
          <w:szCs w:val="24"/>
        </w:rPr>
      </w:pPr>
      <w:r w:rsidRPr="00CB3D10">
        <w:rPr>
          <w:sz w:val="24"/>
          <w:szCs w:val="24"/>
        </w:rPr>
        <w:t xml:space="preserve">Refer the customer to the Energy Fuel Service </w:t>
      </w:r>
      <w:r w:rsidR="002B3342">
        <w:rPr>
          <w:sz w:val="24"/>
          <w:szCs w:val="24"/>
        </w:rPr>
        <w:t xml:space="preserve">or alternative service provider </w:t>
      </w:r>
      <w:r w:rsidRPr="00CB3D10">
        <w:rPr>
          <w:sz w:val="24"/>
          <w:szCs w:val="24"/>
        </w:rPr>
        <w:t xml:space="preserve">to assist with setting up their </w:t>
      </w:r>
      <w:r w:rsidR="00825507">
        <w:rPr>
          <w:sz w:val="24"/>
          <w:szCs w:val="24"/>
        </w:rPr>
        <w:t xml:space="preserve">new </w:t>
      </w:r>
      <w:r w:rsidRPr="00CB3D10">
        <w:rPr>
          <w:sz w:val="24"/>
          <w:szCs w:val="24"/>
        </w:rPr>
        <w:t xml:space="preserve">utility </w:t>
      </w:r>
      <w:r w:rsidR="0005181E" w:rsidRPr="00CB3D10">
        <w:rPr>
          <w:sz w:val="24"/>
          <w:szCs w:val="24"/>
        </w:rPr>
        <w:t>supply</w:t>
      </w:r>
      <w:r w:rsidRPr="00CB3D10">
        <w:rPr>
          <w:sz w:val="24"/>
          <w:szCs w:val="24"/>
        </w:rPr>
        <w:t>;</w:t>
      </w:r>
    </w:p>
    <w:p w:rsidR="0005181E" w:rsidRPr="002B3342" w:rsidRDefault="0005181E" w:rsidP="002B3342">
      <w:pPr>
        <w:pStyle w:val="ListParagraph"/>
        <w:numPr>
          <w:ilvl w:val="0"/>
          <w:numId w:val="22"/>
        </w:numPr>
        <w:spacing w:after="0"/>
        <w:rPr>
          <w:sz w:val="24"/>
          <w:szCs w:val="24"/>
        </w:rPr>
      </w:pPr>
      <w:r w:rsidRPr="00CB3D10">
        <w:rPr>
          <w:sz w:val="24"/>
          <w:szCs w:val="24"/>
        </w:rPr>
        <w:t>Reimburse</w:t>
      </w:r>
      <w:r w:rsidR="001A540C" w:rsidRPr="00CB3D10">
        <w:rPr>
          <w:sz w:val="24"/>
          <w:szCs w:val="24"/>
        </w:rPr>
        <w:t xml:space="preserve"> the customer for any TV and internet cost </w:t>
      </w:r>
      <w:r w:rsidRPr="00CB3D10">
        <w:rPr>
          <w:sz w:val="24"/>
          <w:szCs w:val="24"/>
        </w:rPr>
        <w:t>associated</w:t>
      </w:r>
      <w:r w:rsidR="001A540C" w:rsidRPr="00CB3D10">
        <w:rPr>
          <w:sz w:val="24"/>
          <w:szCs w:val="24"/>
        </w:rPr>
        <w:t xml:space="preserve"> with the decant move</w:t>
      </w:r>
      <w:r w:rsidR="00271625" w:rsidRPr="00CB3D10">
        <w:rPr>
          <w:sz w:val="24"/>
          <w:szCs w:val="24"/>
        </w:rPr>
        <w:t>;</w:t>
      </w:r>
    </w:p>
    <w:p w:rsidR="0005181E" w:rsidRDefault="0005181E" w:rsidP="0005181E">
      <w:pPr>
        <w:pStyle w:val="Heading1"/>
      </w:pPr>
      <w:bookmarkStart w:id="37" w:name="_Toc129768207"/>
      <w:r>
        <w:t>8.</w:t>
      </w:r>
      <w:r>
        <w:tab/>
        <w:t>Remaining in Decant Property</w:t>
      </w:r>
      <w:bookmarkEnd w:id="37"/>
    </w:p>
    <w:p w:rsidR="0005181E" w:rsidRPr="0005181E" w:rsidRDefault="0005181E" w:rsidP="0005181E"/>
    <w:p w:rsidR="0005181E" w:rsidRDefault="0005181E" w:rsidP="0005181E">
      <w:pPr>
        <w:ind w:left="720" w:hanging="720"/>
      </w:pPr>
      <w:r>
        <w:t>8.1</w:t>
      </w:r>
      <w:r>
        <w:tab/>
        <w:t>Govan Housing Association will consider a request to remain in the decant property under the following circumstances;</w:t>
      </w:r>
    </w:p>
    <w:p w:rsidR="0005181E" w:rsidRDefault="0005181E" w:rsidP="0005181E">
      <w:pPr>
        <w:pStyle w:val="ListParagraph"/>
        <w:numPr>
          <w:ilvl w:val="0"/>
          <w:numId w:val="28"/>
        </w:numPr>
      </w:pPr>
      <w:r>
        <w:t>If the customer qualifies for the transfer eligibility criteria as detailed in the Allocation</w:t>
      </w:r>
      <w:r w:rsidR="00225D10">
        <w:t xml:space="preserve"> P</w:t>
      </w:r>
      <w:r>
        <w:t>olicy.</w:t>
      </w:r>
    </w:p>
    <w:p w:rsidR="0005181E" w:rsidRDefault="0005181E" w:rsidP="0005181E">
      <w:pPr>
        <w:pStyle w:val="ListParagraph"/>
        <w:numPr>
          <w:ilvl w:val="0"/>
          <w:numId w:val="28"/>
        </w:numPr>
      </w:pPr>
      <w:r>
        <w:t xml:space="preserve">If it is deemed by the Customer Service Manager to be equivalent in type and </w:t>
      </w:r>
      <w:r w:rsidR="00225D10">
        <w:t>demand as the customs permanent</w:t>
      </w:r>
      <w:r>
        <w:t xml:space="preserve"> home</w:t>
      </w:r>
      <w:r w:rsidR="00225D10">
        <w:t xml:space="preserve"> and has provided exceptional circumstances</w:t>
      </w:r>
      <w:r>
        <w:t>.</w:t>
      </w:r>
    </w:p>
    <w:p w:rsidR="0005181E" w:rsidRDefault="0005181E" w:rsidP="0005181E">
      <w:pPr>
        <w:pStyle w:val="ListParagraph"/>
        <w:numPr>
          <w:ilvl w:val="0"/>
          <w:numId w:val="28"/>
        </w:numPr>
      </w:pPr>
      <w:r>
        <w:t>If it is deemed by the Customer Service Manager that there is exceptionally reasons that the customer should be permitted to remain in the decant property, the Customer Service Manager will determine whether to grant such permanent move with</w:t>
      </w:r>
      <w:r w:rsidR="00225D10">
        <w:t xml:space="preserve"> supporting</w:t>
      </w:r>
      <w:r>
        <w:t xml:space="preserve"> evidence.</w:t>
      </w:r>
    </w:p>
    <w:p w:rsidR="0005181E" w:rsidRDefault="00225D10" w:rsidP="0005181E">
      <w:pPr>
        <w:pStyle w:val="ListParagraph"/>
        <w:numPr>
          <w:ilvl w:val="0"/>
          <w:numId w:val="28"/>
        </w:numPr>
      </w:pPr>
      <w:r>
        <w:t>Where the Customer makes a request to remain in their temporary decant accommodation after moving and the original property is suitable for re-letting once the major repair works have been complete.</w:t>
      </w:r>
    </w:p>
    <w:p w:rsidR="00225D10" w:rsidRDefault="00225D10" w:rsidP="0005181E">
      <w:pPr>
        <w:pStyle w:val="ListParagraph"/>
        <w:numPr>
          <w:ilvl w:val="0"/>
          <w:numId w:val="28"/>
        </w:numPr>
      </w:pPr>
      <w:r>
        <w:t>Where any Customer has not already been pre-allocated the property to another customer or applicant who has received a formal offer for the property or who cannot be allocated ano</w:t>
      </w:r>
      <w:r w:rsidR="002B3342">
        <w:t>ther property that equally suit</w:t>
      </w:r>
      <w:r>
        <w:t>s their needs.</w:t>
      </w:r>
    </w:p>
    <w:p w:rsidR="008855F7" w:rsidRDefault="008855F7" w:rsidP="008855F7">
      <w:pPr>
        <w:ind w:left="720" w:hanging="720"/>
      </w:pPr>
      <w:r>
        <w:t>8.2</w:t>
      </w:r>
      <w:r>
        <w:tab/>
        <w:t xml:space="preserve">Any customer who has been given permission to remain in their decant accommodation permanently will enter into a new Scottish Secure </w:t>
      </w:r>
      <w:r w:rsidR="005C7D1B">
        <w:t>Tenancy Agreement for this home.</w:t>
      </w:r>
    </w:p>
    <w:p w:rsidR="003C217E" w:rsidRDefault="0005181E" w:rsidP="00690CAA">
      <w:pPr>
        <w:pStyle w:val="Heading1"/>
      </w:pPr>
      <w:bookmarkStart w:id="38" w:name="_Toc129768208"/>
      <w:r>
        <w:t>9</w:t>
      </w:r>
      <w:r w:rsidR="003C217E">
        <w:tab/>
      </w:r>
      <w:r w:rsidR="002837F2">
        <w:t>Customer Refusing To Leave Decant Property</w:t>
      </w:r>
      <w:bookmarkEnd w:id="38"/>
    </w:p>
    <w:p w:rsidR="002837F2" w:rsidRDefault="002837F2" w:rsidP="002837F2"/>
    <w:p w:rsidR="002837F2" w:rsidRDefault="000B3262" w:rsidP="000B3262">
      <w:pPr>
        <w:ind w:left="720" w:hanging="720"/>
      </w:pPr>
      <w:r>
        <w:lastRenderedPageBreak/>
        <w:t>9.1</w:t>
      </w:r>
      <w:r>
        <w:tab/>
      </w:r>
      <w:r w:rsidR="00541170">
        <w:t>In the event that the customer</w:t>
      </w:r>
      <w:r w:rsidR="002837F2" w:rsidRPr="002837F2">
        <w:t xml:space="preserve"> refuses to vacate the decanted property, we will endeavour to work out a solution through negotiation to satisfy any concerns they may have.</w:t>
      </w:r>
    </w:p>
    <w:p w:rsidR="002B3342" w:rsidRDefault="000B3262" w:rsidP="000B3262">
      <w:pPr>
        <w:ind w:left="720" w:hanging="720"/>
      </w:pPr>
      <w:r>
        <w:t>9.2</w:t>
      </w:r>
      <w:r>
        <w:tab/>
      </w:r>
      <w:r w:rsidR="00541170">
        <w:t>If a customer</w:t>
      </w:r>
      <w:r w:rsidR="002B3342">
        <w:t xml:space="preserve"> is </w:t>
      </w:r>
      <w:r w:rsidR="00541170">
        <w:t xml:space="preserve">refusing to return to their main property after all repair work has been completed the Association will have no other alternative than to </w:t>
      </w:r>
      <w:r w:rsidR="00541170" w:rsidRPr="00541170">
        <w:t xml:space="preserve">serve a Notice of Proceedings for Recovery of Possession on the (Ground 10 of Schedule 2 part 1 of the Housing (Scotland) Act 2001 with reference to Section 16(6) of the Act) if the tenant persists in refusing to vacate. </w:t>
      </w:r>
    </w:p>
    <w:p w:rsidR="002837F2" w:rsidRPr="002837F2" w:rsidRDefault="002B3342" w:rsidP="000B3262">
      <w:pPr>
        <w:ind w:left="720" w:hanging="720"/>
      </w:pPr>
      <w:r>
        <w:t xml:space="preserve">9.3         </w:t>
      </w:r>
      <w:r w:rsidR="000B3262">
        <w:t>Our customer</w:t>
      </w:r>
      <w:r w:rsidR="00541170" w:rsidRPr="00541170">
        <w:t xml:space="preserve"> must go ba</w:t>
      </w:r>
      <w:r w:rsidR="000B3262">
        <w:t xml:space="preserve">ck into their original </w:t>
      </w:r>
      <w:r w:rsidR="006669F6">
        <w:t>property</w:t>
      </w:r>
      <w:r w:rsidR="00541170" w:rsidRPr="00541170">
        <w:t xml:space="preserve"> as soon as they are able to do so because they have no legal right to remain in a temporary decant house (Housing (Scotland) Act 2001 Section 16). (6b).</w:t>
      </w:r>
    </w:p>
    <w:p w:rsidR="003C217E" w:rsidRDefault="00BB6AD7" w:rsidP="00BB6AD7">
      <w:pPr>
        <w:pStyle w:val="Heading1"/>
      </w:pPr>
      <w:bookmarkStart w:id="39" w:name="_Toc129768209"/>
      <w:r>
        <w:t>10</w:t>
      </w:r>
      <w:r>
        <w:tab/>
        <w:t>Policy Implementation</w:t>
      </w:r>
      <w:bookmarkEnd w:id="39"/>
    </w:p>
    <w:p w:rsidR="00BB6AD7" w:rsidRDefault="00BB6AD7" w:rsidP="00BB6AD7"/>
    <w:p w:rsidR="00BB6AD7" w:rsidRPr="00BB6AD7" w:rsidRDefault="00BB6AD7" w:rsidP="00BB6AD7">
      <w:pPr>
        <w:ind w:left="720" w:hanging="720"/>
      </w:pPr>
      <w:r>
        <w:t>10.1</w:t>
      </w:r>
      <w:r>
        <w:tab/>
      </w:r>
      <w:r w:rsidRPr="00BB6AD7">
        <w:t>Our decant processes shall be followed in the implementation of this policy. The staff will be thoroughly knowledgeable</w:t>
      </w:r>
      <w:r>
        <w:t>,</w:t>
      </w:r>
      <w:r w:rsidRPr="00BB6AD7">
        <w:t xml:space="preserve"> and</w:t>
      </w:r>
      <w:r>
        <w:t xml:space="preserve"> have assigned responsibilities and tasks with allocated resources </w:t>
      </w:r>
      <w:r w:rsidRPr="00BB6AD7">
        <w:t>to implement the policy and procedure in all aspects in a fair and equal manner.</w:t>
      </w:r>
    </w:p>
    <w:p w:rsidR="00CC7F89" w:rsidRPr="00D5453E" w:rsidRDefault="00114F1C" w:rsidP="003701CD">
      <w:pPr>
        <w:pStyle w:val="Heading1"/>
      </w:pPr>
      <w:bookmarkStart w:id="40" w:name="_Toc129768210"/>
      <w:r>
        <w:t>11</w:t>
      </w:r>
      <w:r w:rsidR="008D137D" w:rsidRPr="00D5453E">
        <w:tab/>
      </w:r>
      <w:r w:rsidR="00CC7F89" w:rsidRPr="00D5453E">
        <w:t>Equalities and Diversity</w:t>
      </w:r>
      <w:bookmarkEnd w:id="40"/>
    </w:p>
    <w:p w:rsidR="00CC7F89" w:rsidRPr="00D5453E" w:rsidRDefault="00CC7F89">
      <w:pPr>
        <w:spacing w:after="0" w:line="240" w:lineRule="auto"/>
        <w:rPr>
          <w:rFonts w:ascii="Arial" w:hAnsi="Arial" w:cs="Arial"/>
          <w:b/>
          <w:sz w:val="24"/>
          <w:szCs w:val="24"/>
        </w:rPr>
      </w:pPr>
    </w:p>
    <w:p w:rsidR="006805E2" w:rsidRPr="00114F1C" w:rsidRDefault="00114F1C">
      <w:pPr>
        <w:spacing w:after="0" w:line="240" w:lineRule="auto"/>
        <w:ind w:left="720" w:hanging="720"/>
        <w:jc w:val="both"/>
        <w:rPr>
          <w:rFonts w:cs="Arial"/>
          <w:sz w:val="24"/>
          <w:szCs w:val="24"/>
        </w:rPr>
      </w:pPr>
      <w:r w:rsidRPr="00114F1C">
        <w:rPr>
          <w:rFonts w:cs="Arial"/>
          <w:sz w:val="24"/>
          <w:szCs w:val="24"/>
        </w:rPr>
        <w:t>11</w:t>
      </w:r>
      <w:r w:rsidR="008D137D" w:rsidRPr="00114F1C">
        <w:rPr>
          <w:rFonts w:cs="Arial"/>
          <w:sz w:val="24"/>
          <w:szCs w:val="24"/>
        </w:rPr>
        <w:t>.1</w:t>
      </w:r>
      <w:r w:rsidR="00CC7F89" w:rsidRPr="00114F1C">
        <w:rPr>
          <w:rFonts w:cs="Arial"/>
          <w:sz w:val="24"/>
          <w:szCs w:val="24"/>
        </w:rPr>
        <w:tab/>
        <w:t xml:space="preserve">This policy will be implemented in line with our Equality and Diversity Policy and is subject to an Equality Impact Assessment to assess the likely or actual effects of the policy to our customers in respect of their disability, age, gender, race, religion/belief, sexual orientation or gender identify to ensure </w:t>
      </w:r>
      <w:r w:rsidR="00936370" w:rsidRPr="00114F1C">
        <w:rPr>
          <w:rFonts w:cs="Arial"/>
          <w:sz w:val="24"/>
          <w:szCs w:val="24"/>
        </w:rPr>
        <w:t>equal and fair access for all.</w:t>
      </w:r>
    </w:p>
    <w:p w:rsidR="00A92839" w:rsidRPr="00114F1C" w:rsidRDefault="00A92839">
      <w:pPr>
        <w:spacing w:after="0" w:line="240" w:lineRule="auto"/>
        <w:ind w:left="720" w:hanging="720"/>
        <w:jc w:val="both"/>
        <w:rPr>
          <w:rFonts w:cs="Arial"/>
          <w:sz w:val="24"/>
          <w:szCs w:val="24"/>
        </w:rPr>
      </w:pPr>
    </w:p>
    <w:p w:rsidR="00A92839" w:rsidRPr="00114F1C" w:rsidRDefault="00114F1C" w:rsidP="004A6446">
      <w:pPr>
        <w:spacing w:after="0" w:line="240" w:lineRule="auto"/>
        <w:ind w:left="720" w:hanging="720"/>
        <w:jc w:val="both"/>
        <w:rPr>
          <w:rFonts w:cs="Arial"/>
          <w:sz w:val="24"/>
          <w:szCs w:val="24"/>
        </w:rPr>
      </w:pPr>
      <w:r w:rsidRPr="00114F1C">
        <w:rPr>
          <w:rFonts w:cs="Arial"/>
          <w:sz w:val="24"/>
          <w:szCs w:val="24"/>
        </w:rPr>
        <w:t>11</w:t>
      </w:r>
      <w:r w:rsidR="00A92839" w:rsidRPr="00114F1C">
        <w:rPr>
          <w:rFonts w:cs="Arial"/>
          <w:sz w:val="24"/>
          <w:szCs w:val="24"/>
        </w:rPr>
        <w:t>.2</w:t>
      </w:r>
      <w:r w:rsidR="00A92839" w:rsidRPr="00114F1C">
        <w:rPr>
          <w:rFonts w:cs="Arial"/>
          <w:sz w:val="24"/>
          <w:szCs w:val="24"/>
        </w:rPr>
        <w:tab/>
        <w:t>Our policy is to ensure fair and open access to our housing and to be responsive to people’s individual support needs. We will therefore ensure that appropriate selection and assessment criteria are used by the</w:t>
      </w:r>
      <w:r w:rsidR="005B4149">
        <w:rPr>
          <w:rFonts w:cs="Arial"/>
          <w:sz w:val="24"/>
          <w:szCs w:val="24"/>
        </w:rPr>
        <w:t xml:space="preserve"> temporary allocation</w:t>
      </w:r>
      <w:r w:rsidR="00A92839" w:rsidRPr="00114F1C">
        <w:rPr>
          <w:rFonts w:cs="Arial"/>
          <w:sz w:val="24"/>
          <w:szCs w:val="24"/>
        </w:rPr>
        <w:t xml:space="preserve"> of</w:t>
      </w:r>
      <w:r w:rsidR="005B4149">
        <w:rPr>
          <w:rFonts w:cs="Arial"/>
          <w:sz w:val="24"/>
          <w:szCs w:val="24"/>
        </w:rPr>
        <w:t xml:space="preserve"> any Decant property</w:t>
      </w:r>
      <w:r w:rsidR="00A92839" w:rsidRPr="00114F1C">
        <w:rPr>
          <w:rFonts w:cs="Arial"/>
          <w:sz w:val="24"/>
          <w:szCs w:val="24"/>
        </w:rPr>
        <w:t xml:space="preserve">. </w:t>
      </w:r>
    </w:p>
    <w:p w:rsidR="00D3504D" w:rsidRPr="00114F1C" w:rsidRDefault="00D3504D" w:rsidP="004A6446">
      <w:pPr>
        <w:spacing w:after="0" w:line="240" w:lineRule="auto"/>
        <w:ind w:left="720" w:hanging="720"/>
        <w:jc w:val="both"/>
        <w:rPr>
          <w:rFonts w:cs="Arial"/>
          <w:sz w:val="24"/>
          <w:szCs w:val="24"/>
        </w:rPr>
      </w:pPr>
      <w:bookmarkStart w:id="41" w:name="_GoBack"/>
      <w:bookmarkEnd w:id="41"/>
    </w:p>
    <w:p w:rsidR="00936370" w:rsidRPr="00114F1C" w:rsidRDefault="00114F1C" w:rsidP="00114F1C">
      <w:pPr>
        <w:spacing w:after="0" w:line="240" w:lineRule="auto"/>
        <w:ind w:left="720" w:hanging="720"/>
        <w:jc w:val="both"/>
        <w:rPr>
          <w:rFonts w:cs="Arial"/>
          <w:sz w:val="24"/>
          <w:szCs w:val="24"/>
        </w:rPr>
      </w:pPr>
      <w:r w:rsidRPr="00114F1C">
        <w:rPr>
          <w:rFonts w:cs="Arial"/>
          <w:sz w:val="24"/>
          <w:szCs w:val="24"/>
        </w:rPr>
        <w:t>11</w:t>
      </w:r>
      <w:r w:rsidR="00A92839" w:rsidRPr="00114F1C">
        <w:rPr>
          <w:rFonts w:cs="Arial"/>
          <w:sz w:val="24"/>
          <w:szCs w:val="24"/>
        </w:rPr>
        <w:t>.3</w:t>
      </w:r>
      <w:r w:rsidR="00A92839" w:rsidRPr="00114F1C">
        <w:rPr>
          <w:rFonts w:cs="Arial"/>
          <w:sz w:val="24"/>
          <w:szCs w:val="24"/>
        </w:rPr>
        <w:tab/>
        <w:t>We undertake to ensure that equal access to appropriate property types and locations across the range of our stock.</w:t>
      </w:r>
    </w:p>
    <w:p w:rsidR="00CC7F89" w:rsidRPr="00D5453E" w:rsidRDefault="00114F1C" w:rsidP="003701CD">
      <w:pPr>
        <w:pStyle w:val="Heading1"/>
      </w:pPr>
      <w:bookmarkStart w:id="42" w:name="_Toc129768211"/>
      <w:r>
        <w:t>12</w:t>
      </w:r>
      <w:r w:rsidR="00367E04">
        <w:t>.</w:t>
      </w:r>
      <w:r w:rsidR="008D137D" w:rsidRPr="00D5453E">
        <w:tab/>
      </w:r>
      <w:r w:rsidR="00CC7F89" w:rsidRPr="00D5453E">
        <w:t>Monitoring and Reporting</w:t>
      </w:r>
      <w:bookmarkEnd w:id="42"/>
    </w:p>
    <w:p w:rsidR="00CC7F89" w:rsidRPr="00D5453E" w:rsidRDefault="00CC7F89">
      <w:pPr>
        <w:spacing w:after="0" w:line="240" w:lineRule="auto"/>
        <w:rPr>
          <w:rFonts w:ascii="Arial" w:hAnsi="Arial" w:cs="Arial"/>
          <w:b/>
          <w:sz w:val="24"/>
          <w:szCs w:val="24"/>
        </w:rPr>
      </w:pPr>
    </w:p>
    <w:p w:rsidR="00114F1C" w:rsidRDefault="00114F1C" w:rsidP="005B4149">
      <w:pPr>
        <w:spacing w:after="0" w:line="240" w:lineRule="auto"/>
        <w:ind w:left="720" w:hanging="720"/>
        <w:jc w:val="both"/>
        <w:rPr>
          <w:rFonts w:cs="Arial"/>
          <w:sz w:val="24"/>
          <w:szCs w:val="24"/>
        </w:rPr>
      </w:pPr>
      <w:r w:rsidRPr="00114F1C">
        <w:rPr>
          <w:rFonts w:cs="Arial"/>
          <w:sz w:val="24"/>
          <w:szCs w:val="24"/>
        </w:rPr>
        <w:t>12</w:t>
      </w:r>
      <w:r w:rsidR="003E07ED" w:rsidRPr="00114F1C">
        <w:rPr>
          <w:rFonts w:cs="Arial"/>
          <w:sz w:val="24"/>
          <w:szCs w:val="24"/>
        </w:rPr>
        <w:t>.1</w:t>
      </w:r>
      <w:r w:rsidR="00CC7F89" w:rsidRPr="00114F1C">
        <w:rPr>
          <w:rFonts w:cs="Arial"/>
          <w:sz w:val="24"/>
          <w:szCs w:val="24"/>
        </w:rPr>
        <w:tab/>
        <w:t xml:space="preserve">The Association will use appeals, complaints, comments or suggestions from users of this policy to monitor its effectiveness. These will also be used to prompt a review </w:t>
      </w:r>
      <w:r w:rsidR="00B507D4" w:rsidRPr="00114F1C">
        <w:rPr>
          <w:rFonts w:cs="Arial"/>
          <w:sz w:val="24"/>
          <w:szCs w:val="24"/>
        </w:rPr>
        <w:t xml:space="preserve">of the policy where necessary. </w:t>
      </w:r>
    </w:p>
    <w:p w:rsidR="00114F1C" w:rsidRDefault="00114F1C" w:rsidP="005B4149">
      <w:pPr>
        <w:pStyle w:val="Heading1"/>
      </w:pPr>
      <w:bookmarkStart w:id="43" w:name="_Toc129768212"/>
      <w:r>
        <w:t>13.</w:t>
      </w:r>
      <w:r>
        <w:tab/>
        <w:t xml:space="preserve">Complaints </w:t>
      </w:r>
      <w:r w:rsidR="005B4149">
        <w:t>Handling</w:t>
      </w:r>
      <w:bookmarkEnd w:id="43"/>
    </w:p>
    <w:p w:rsidR="005B4149" w:rsidRDefault="005B4149" w:rsidP="005B4149"/>
    <w:p w:rsidR="005B4149" w:rsidRDefault="005B4149" w:rsidP="005B4149">
      <w:pPr>
        <w:pStyle w:val="Default"/>
        <w:ind w:left="720" w:hanging="720"/>
        <w:rPr>
          <w:rFonts w:asciiTheme="minorHAnsi" w:hAnsiTheme="minorHAnsi"/>
          <w:sz w:val="23"/>
          <w:szCs w:val="23"/>
        </w:rPr>
      </w:pPr>
      <w:r w:rsidRPr="005B4149">
        <w:rPr>
          <w:rFonts w:asciiTheme="minorHAnsi" w:hAnsiTheme="minorHAnsi"/>
        </w:rPr>
        <w:lastRenderedPageBreak/>
        <w:t>13.1</w:t>
      </w:r>
      <w:r w:rsidRPr="005B4149">
        <w:rPr>
          <w:rFonts w:asciiTheme="minorHAnsi" w:hAnsiTheme="minorHAnsi"/>
        </w:rPr>
        <w:tab/>
      </w:r>
      <w:r w:rsidRPr="005B4149">
        <w:rPr>
          <w:rFonts w:asciiTheme="minorHAnsi" w:hAnsiTheme="minorHAnsi"/>
          <w:sz w:val="23"/>
          <w:szCs w:val="23"/>
        </w:rPr>
        <w:t xml:space="preserve">Anyone who feels aggrieved by the service they have received from staff in carrying out their responsibilities in relation to this policy and its associated procedures can make an informal or formal complaint to the Association. </w:t>
      </w:r>
    </w:p>
    <w:p w:rsidR="005B4149" w:rsidRPr="005B4149" w:rsidRDefault="005B4149" w:rsidP="005B4149">
      <w:pPr>
        <w:pStyle w:val="Default"/>
        <w:ind w:left="720" w:hanging="720"/>
        <w:rPr>
          <w:rFonts w:asciiTheme="minorHAnsi" w:hAnsiTheme="minorHAnsi"/>
          <w:sz w:val="23"/>
          <w:szCs w:val="23"/>
        </w:rPr>
      </w:pPr>
    </w:p>
    <w:p w:rsidR="005B4149" w:rsidRDefault="005B4149" w:rsidP="005B4149">
      <w:pPr>
        <w:autoSpaceDE w:val="0"/>
        <w:autoSpaceDN w:val="0"/>
        <w:adjustRightInd w:val="0"/>
        <w:spacing w:after="0" w:line="240" w:lineRule="auto"/>
        <w:ind w:left="720" w:hanging="720"/>
        <w:rPr>
          <w:rFonts w:cs="Arial"/>
          <w:color w:val="000000"/>
          <w:sz w:val="23"/>
          <w:szCs w:val="23"/>
        </w:rPr>
      </w:pPr>
      <w:r>
        <w:rPr>
          <w:rFonts w:cs="Arial"/>
          <w:color w:val="000000"/>
          <w:sz w:val="23"/>
          <w:szCs w:val="23"/>
        </w:rPr>
        <w:t>13.2</w:t>
      </w:r>
      <w:r>
        <w:rPr>
          <w:rFonts w:cs="Arial"/>
          <w:color w:val="000000"/>
          <w:sz w:val="23"/>
          <w:szCs w:val="23"/>
        </w:rPr>
        <w:tab/>
        <w:t>A</w:t>
      </w:r>
      <w:r w:rsidRPr="005B4149">
        <w:rPr>
          <w:rFonts w:cs="Arial"/>
          <w:color w:val="000000"/>
          <w:sz w:val="23"/>
          <w:szCs w:val="23"/>
        </w:rPr>
        <w:t xml:space="preserve">ll complaints will be fully investigated in accordance with the Association’s Complaints Procedure. A written guide on the complaints process is readily available to customers on request and is on display in the reception area of the office. </w:t>
      </w:r>
    </w:p>
    <w:p w:rsidR="005B4149" w:rsidRPr="005B4149" w:rsidRDefault="005B4149" w:rsidP="005B4149">
      <w:pPr>
        <w:autoSpaceDE w:val="0"/>
        <w:autoSpaceDN w:val="0"/>
        <w:adjustRightInd w:val="0"/>
        <w:spacing w:after="0" w:line="240" w:lineRule="auto"/>
        <w:ind w:left="720" w:hanging="720"/>
        <w:rPr>
          <w:rFonts w:cs="Arial"/>
          <w:color w:val="000000"/>
          <w:sz w:val="23"/>
          <w:szCs w:val="23"/>
        </w:rPr>
      </w:pPr>
    </w:p>
    <w:p w:rsidR="005B4149" w:rsidRPr="005B4149" w:rsidRDefault="005B4149" w:rsidP="005B4149">
      <w:pPr>
        <w:ind w:left="720" w:hanging="720"/>
      </w:pPr>
      <w:r>
        <w:rPr>
          <w:rFonts w:cs="Arial"/>
          <w:color w:val="000000"/>
          <w:sz w:val="23"/>
          <w:szCs w:val="23"/>
        </w:rPr>
        <w:t>13.3</w:t>
      </w:r>
      <w:r>
        <w:rPr>
          <w:rFonts w:cs="Arial"/>
          <w:color w:val="000000"/>
          <w:sz w:val="23"/>
          <w:szCs w:val="23"/>
        </w:rPr>
        <w:tab/>
      </w:r>
      <w:r w:rsidRPr="005B4149">
        <w:rPr>
          <w:rFonts w:cs="Arial"/>
          <w:color w:val="000000"/>
          <w:sz w:val="23"/>
          <w:szCs w:val="23"/>
        </w:rPr>
        <w:t>Any tenant making a complaint will be advised of their right to complain to the Scottish Public Services Ombudsman.</w:t>
      </w:r>
    </w:p>
    <w:p w:rsidR="00CC7F89" w:rsidRPr="00D5453E" w:rsidRDefault="005B4149" w:rsidP="003701CD">
      <w:pPr>
        <w:pStyle w:val="Heading1"/>
      </w:pPr>
      <w:bookmarkStart w:id="44" w:name="_Toc129768213"/>
      <w:r>
        <w:t>14</w:t>
      </w:r>
      <w:r w:rsidR="00367E04">
        <w:t>.</w:t>
      </w:r>
      <w:r w:rsidR="008D137D" w:rsidRPr="00D5453E">
        <w:tab/>
      </w:r>
      <w:r w:rsidR="00CC7F89" w:rsidRPr="00D5453E">
        <w:t>Review</w:t>
      </w:r>
      <w:r w:rsidR="003E07ED">
        <w:t xml:space="preserve"> and Audit</w:t>
      </w:r>
      <w:bookmarkEnd w:id="44"/>
    </w:p>
    <w:p w:rsidR="00CC7F89" w:rsidRPr="00114F1C" w:rsidRDefault="00CC7F89">
      <w:pPr>
        <w:pStyle w:val="ListParagraph"/>
        <w:spacing w:after="0" w:line="240" w:lineRule="auto"/>
        <w:ind w:left="360"/>
        <w:rPr>
          <w:rFonts w:cs="Arial"/>
          <w:b/>
          <w:sz w:val="24"/>
          <w:szCs w:val="24"/>
        </w:rPr>
      </w:pPr>
    </w:p>
    <w:p w:rsidR="003E07ED" w:rsidRPr="00114F1C" w:rsidRDefault="003701CD" w:rsidP="00AA0D70">
      <w:pPr>
        <w:spacing w:after="0" w:line="240" w:lineRule="auto"/>
        <w:ind w:left="720" w:hanging="720"/>
        <w:jc w:val="both"/>
        <w:rPr>
          <w:rFonts w:cs="Arial"/>
          <w:sz w:val="24"/>
          <w:szCs w:val="24"/>
        </w:rPr>
      </w:pPr>
      <w:r w:rsidRPr="00114F1C">
        <w:rPr>
          <w:rFonts w:cs="Arial"/>
          <w:sz w:val="24"/>
          <w:szCs w:val="24"/>
        </w:rPr>
        <w:t>14</w:t>
      </w:r>
      <w:r w:rsidR="00AA0D70" w:rsidRPr="00114F1C">
        <w:rPr>
          <w:rFonts w:cs="Arial"/>
          <w:sz w:val="24"/>
          <w:szCs w:val="24"/>
        </w:rPr>
        <w:t>.1</w:t>
      </w:r>
      <w:r w:rsidR="00AA0D70" w:rsidRPr="00114F1C">
        <w:rPr>
          <w:rFonts w:cs="Arial"/>
          <w:sz w:val="24"/>
          <w:szCs w:val="24"/>
        </w:rPr>
        <w:tab/>
      </w:r>
      <w:r w:rsidR="00CC7F89" w:rsidRPr="00114F1C">
        <w:rPr>
          <w:rFonts w:cs="Arial"/>
          <w:sz w:val="24"/>
          <w:szCs w:val="24"/>
        </w:rPr>
        <w:t>This Policy will be approved by the M</w:t>
      </w:r>
      <w:r w:rsidR="00A27633" w:rsidRPr="00114F1C">
        <w:rPr>
          <w:rFonts w:cs="Arial"/>
          <w:sz w:val="24"/>
          <w:szCs w:val="24"/>
        </w:rPr>
        <w:t xml:space="preserve">anagement Committee. It will </w:t>
      </w:r>
      <w:r w:rsidR="00690CAA" w:rsidRPr="00114F1C">
        <w:rPr>
          <w:rFonts w:cs="Arial"/>
          <w:sz w:val="24"/>
          <w:szCs w:val="24"/>
        </w:rPr>
        <w:t>reviewed</w:t>
      </w:r>
      <w:r w:rsidR="00114F1C" w:rsidRPr="00114F1C">
        <w:rPr>
          <w:rFonts w:cs="Arial"/>
          <w:sz w:val="24"/>
          <w:szCs w:val="24"/>
        </w:rPr>
        <w:t xml:space="preserve"> every 3</w:t>
      </w:r>
      <w:r w:rsidR="00CC7F89" w:rsidRPr="00114F1C">
        <w:rPr>
          <w:rFonts w:cs="Arial"/>
          <w:sz w:val="24"/>
          <w:szCs w:val="24"/>
        </w:rPr>
        <w:t xml:space="preserve"> years unless amendment is prompted by a change in legislation, or monitoring and reporting reveals that a change</w:t>
      </w:r>
      <w:r w:rsidR="00114F1C">
        <w:rPr>
          <w:rFonts w:cs="Arial"/>
          <w:sz w:val="24"/>
          <w:szCs w:val="24"/>
        </w:rPr>
        <w:t xml:space="preserve"> in Policy is dictated</w:t>
      </w:r>
      <w:r w:rsidR="001E1816" w:rsidRPr="00114F1C">
        <w:rPr>
          <w:rFonts w:cs="Arial"/>
          <w:sz w:val="24"/>
          <w:szCs w:val="24"/>
        </w:rPr>
        <w:t xml:space="preserve"> sooner.</w:t>
      </w:r>
    </w:p>
    <w:p w:rsidR="00A27633" w:rsidRPr="00114F1C" w:rsidRDefault="00A27633" w:rsidP="00A27633">
      <w:pPr>
        <w:pStyle w:val="ListParagraph"/>
        <w:spacing w:after="0" w:line="240" w:lineRule="auto"/>
        <w:ind w:left="468"/>
        <w:jc w:val="both"/>
        <w:rPr>
          <w:rFonts w:cs="Arial"/>
          <w:sz w:val="24"/>
          <w:szCs w:val="24"/>
        </w:rPr>
      </w:pPr>
    </w:p>
    <w:p w:rsidR="003E07ED" w:rsidRPr="00114F1C" w:rsidRDefault="003701CD" w:rsidP="00AA0D70">
      <w:pPr>
        <w:spacing w:after="0" w:line="240" w:lineRule="auto"/>
        <w:ind w:left="720" w:hanging="720"/>
        <w:jc w:val="both"/>
        <w:rPr>
          <w:rFonts w:cs="Arial"/>
          <w:sz w:val="24"/>
          <w:szCs w:val="24"/>
        </w:rPr>
      </w:pPr>
      <w:r w:rsidRPr="00114F1C">
        <w:rPr>
          <w:rFonts w:cs="Arial"/>
          <w:sz w:val="24"/>
          <w:szCs w:val="24"/>
        </w:rPr>
        <w:t>14</w:t>
      </w:r>
      <w:r w:rsidR="00AA0D70" w:rsidRPr="00114F1C">
        <w:rPr>
          <w:rFonts w:cs="Arial"/>
          <w:sz w:val="24"/>
          <w:szCs w:val="24"/>
        </w:rPr>
        <w:t>.2</w:t>
      </w:r>
      <w:r w:rsidR="00AA0D70" w:rsidRPr="00114F1C">
        <w:rPr>
          <w:rFonts w:cs="Arial"/>
          <w:sz w:val="24"/>
          <w:szCs w:val="24"/>
        </w:rPr>
        <w:tab/>
      </w:r>
      <w:r w:rsidR="003E07ED" w:rsidRPr="00114F1C">
        <w:rPr>
          <w:rFonts w:cs="Arial"/>
          <w:sz w:val="24"/>
          <w:szCs w:val="24"/>
        </w:rPr>
        <w:t>We will maintain a clear au</w:t>
      </w:r>
      <w:r w:rsidR="00A27633" w:rsidRPr="00114F1C">
        <w:rPr>
          <w:rFonts w:cs="Arial"/>
          <w:sz w:val="24"/>
          <w:szCs w:val="24"/>
        </w:rPr>
        <w:t>dit trail showing that we have e</w:t>
      </w:r>
      <w:r w:rsidR="003E07ED" w:rsidRPr="00114F1C">
        <w:rPr>
          <w:rFonts w:cs="Arial"/>
          <w:sz w:val="24"/>
          <w:szCs w:val="24"/>
        </w:rPr>
        <w:t xml:space="preserve">xamined all other </w:t>
      </w:r>
      <w:r w:rsidR="00A27633" w:rsidRPr="00114F1C">
        <w:rPr>
          <w:rFonts w:cs="Arial"/>
          <w:sz w:val="24"/>
          <w:szCs w:val="24"/>
        </w:rPr>
        <w:t xml:space="preserve">        </w:t>
      </w:r>
      <w:r w:rsidR="003E07ED" w:rsidRPr="00114F1C">
        <w:rPr>
          <w:rFonts w:cs="Arial"/>
          <w:sz w:val="24"/>
          <w:szCs w:val="24"/>
        </w:rPr>
        <w:t>available opti</w:t>
      </w:r>
      <w:r w:rsidR="00114F1C">
        <w:rPr>
          <w:rFonts w:cs="Arial"/>
          <w:sz w:val="24"/>
          <w:szCs w:val="24"/>
        </w:rPr>
        <w:t xml:space="preserve">ons in deciding </w:t>
      </w:r>
      <w:r w:rsidR="003E07ED" w:rsidRPr="00114F1C">
        <w:rPr>
          <w:rFonts w:cs="Arial"/>
          <w:sz w:val="24"/>
          <w:szCs w:val="24"/>
        </w:rPr>
        <w:t>th</w:t>
      </w:r>
      <w:r w:rsidR="00463F22" w:rsidRPr="00114F1C">
        <w:rPr>
          <w:rFonts w:cs="Arial"/>
          <w:sz w:val="24"/>
          <w:szCs w:val="24"/>
        </w:rPr>
        <w:t>e most appropriate</w:t>
      </w:r>
      <w:r w:rsidR="00114F1C">
        <w:rPr>
          <w:rFonts w:cs="Arial"/>
          <w:sz w:val="24"/>
          <w:szCs w:val="24"/>
        </w:rPr>
        <w:t xml:space="preserve"> Decant</w:t>
      </w:r>
      <w:r w:rsidR="00463F22" w:rsidRPr="00114F1C">
        <w:rPr>
          <w:rFonts w:cs="Arial"/>
          <w:sz w:val="24"/>
          <w:szCs w:val="24"/>
        </w:rPr>
        <w:t xml:space="preserve"> arrangement</w:t>
      </w:r>
      <w:r w:rsidR="00114F1C">
        <w:rPr>
          <w:rFonts w:cs="Arial"/>
          <w:sz w:val="24"/>
          <w:szCs w:val="24"/>
        </w:rPr>
        <w:t>s</w:t>
      </w:r>
      <w:r w:rsidR="00463F22" w:rsidRPr="00114F1C">
        <w:rPr>
          <w:rFonts w:cs="Arial"/>
          <w:sz w:val="24"/>
          <w:szCs w:val="24"/>
        </w:rPr>
        <w:t>.</w:t>
      </w:r>
    </w:p>
    <w:p w:rsidR="00A27633" w:rsidRPr="00114F1C" w:rsidRDefault="00A27633" w:rsidP="00A27633">
      <w:pPr>
        <w:spacing w:after="0" w:line="240" w:lineRule="auto"/>
        <w:rPr>
          <w:rFonts w:cs="Arial"/>
          <w:sz w:val="24"/>
          <w:szCs w:val="24"/>
        </w:rPr>
      </w:pPr>
    </w:p>
    <w:p w:rsidR="00943FCE" w:rsidRPr="00066F39" w:rsidRDefault="00943FCE" w:rsidP="00066F39">
      <w:pPr>
        <w:rPr>
          <w:rFonts w:ascii="Arial" w:hAnsi="Arial" w:cs="Arial"/>
          <w:sz w:val="24"/>
          <w:szCs w:val="24"/>
        </w:rPr>
      </w:pPr>
    </w:p>
    <w:p w:rsidR="00E5638B" w:rsidRDefault="00E5638B" w:rsidP="00D62A8E">
      <w:pPr>
        <w:spacing w:after="0" w:line="240" w:lineRule="auto"/>
        <w:rPr>
          <w:rFonts w:ascii="Arial" w:hAnsi="Arial" w:cs="Arial"/>
          <w:b/>
          <w:sz w:val="24"/>
          <w:szCs w:val="24"/>
        </w:rPr>
      </w:pPr>
    </w:p>
    <w:p w:rsidR="00E5638B" w:rsidRDefault="00E5638B" w:rsidP="00D62A8E">
      <w:pPr>
        <w:spacing w:after="0" w:line="240" w:lineRule="auto"/>
        <w:rPr>
          <w:rFonts w:ascii="Arial" w:hAnsi="Arial" w:cs="Arial"/>
          <w:b/>
          <w:sz w:val="24"/>
          <w:szCs w:val="24"/>
        </w:rPr>
      </w:pPr>
    </w:p>
    <w:p w:rsidR="00E5638B" w:rsidRDefault="00E5638B" w:rsidP="00D62A8E">
      <w:pPr>
        <w:spacing w:after="0" w:line="240" w:lineRule="auto"/>
        <w:rPr>
          <w:rFonts w:ascii="Arial" w:hAnsi="Arial" w:cs="Arial"/>
          <w:b/>
          <w:sz w:val="24"/>
          <w:szCs w:val="24"/>
        </w:rPr>
      </w:pPr>
    </w:p>
    <w:p w:rsidR="00E5638B" w:rsidRDefault="00E5638B" w:rsidP="00D62A8E">
      <w:pPr>
        <w:spacing w:after="0" w:line="240" w:lineRule="auto"/>
        <w:rPr>
          <w:rFonts w:ascii="Arial" w:hAnsi="Arial" w:cs="Arial"/>
          <w:b/>
          <w:sz w:val="24"/>
          <w:szCs w:val="24"/>
        </w:rPr>
      </w:pPr>
    </w:p>
    <w:p w:rsidR="00E5638B" w:rsidRDefault="00E5638B" w:rsidP="00D62A8E">
      <w:pPr>
        <w:spacing w:after="0" w:line="240" w:lineRule="auto"/>
        <w:rPr>
          <w:rFonts w:ascii="Arial" w:hAnsi="Arial" w:cs="Arial"/>
          <w:b/>
          <w:sz w:val="24"/>
          <w:szCs w:val="24"/>
        </w:rPr>
      </w:pPr>
    </w:p>
    <w:p w:rsidR="00E5638B" w:rsidRDefault="00E5638B" w:rsidP="00D62A8E">
      <w:pPr>
        <w:spacing w:after="0" w:line="240" w:lineRule="auto"/>
        <w:rPr>
          <w:rFonts w:ascii="Arial" w:hAnsi="Arial" w:cs="Arial"/>
          <w:b/>
          <w:sz w:val="24"/>
          <w:szCs w:val="24"/>
        </w:rPr>
      </w:pPr>
    </w:p>
    <w:p w:rsidR="00E5638B" w:rsidRDefault="00E5638B" w:rsidP="00D62A8E">
      <w:pPr>
        <w:spacing w:after="0" w:line="240" w:lineRule="auto"/>
        <w:rPr>
          <w:rFonts w:ascii="Arial" w:hAnsi="Arial" w:cs="Arial"/>
          <w:b/>
          <w:sz w:val="24"/>
          <w:szCs w:val="24"/>
        </w:rPr>
      </w:pPr>
    </w:p>
    <w:p w:rsidR="00E5638B" w:rsidRDefault="00E5638B" w:rsidP="00D62A8E">
      <w:pPr>
        <w:spacing w:after="0" w:line="240" w:lineRule="auto"/>
        <w:rPr>
          <w:rFonts w:ascii="Arial" w:hAnsi="Arial" w:cs="Arial"/>
          <w:b/>
          <w:sz w:val="24"/>
          <w:szCs w:val="24"/>
        </w:rPr>
      </w:pPr>
    </w:p>
    <w:p w:rsidR="00E5638B" w:rsidRDefault="00E5638B" w:rsidP="00D62A8E">
      <w:pPr>
        <w:spacing w:after="0" w:line="240" w:lineRule="auto"/>
        <w:rPr>
          <w:rFonts w:ascii="Arial" w:hAnsi="Arial" w:cs="Arial"/>
          <w:b/>
          <w:sz w:val="24"/>
          <w:szCs w:val="24"/>
        </w:rPr>
      </w:pPr>
    </w:p>
    <w:p w:rsidR="00943FCE" w:rsidRDefault="00943FCE" w:rsidP="00D62A8E">
      <w:pPr>
        <w:spacing w:after="0" w:line="240" w:lineRule="auto"/>
        <w:rPr>
          <w:rFonts w:ascii="Arial" w:hAnsi="Arial" w:cs="Arial"/>
          <w:b/>
          <w:sz w:val="24"/>
          <w:szCs w:val="24"/>
        </w:rPr>
      </w:pPr>
    </w:p>
    <w:sectPr w:rsidR="00943FCE" w:rsidSect="0048350C">
      <w:headerReference w:type="default" r:id="rId10"/>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0DE" w:rsidRDefault="007220DE" w:rsidP="008A40C1">
      <w:pPr>
        <w:spacing w:after="0" w:line="240" w:lineRule="auto"/>
      </w:pPr>
      <w:r>
        <w:separator/>
      </w:r>
    </w:p>
  </w:endnote>
  <w:endnote w:type="continuationSeparator" w:id="0">
    <w:p w:rsidR="007220DE" w:rsidRDefault="007220DE" w:rsidP="008A4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0DE" w:rsidRPr="00EB7EF5" w:rsidRDefault="007220DE" w:rsidP="001C7EFA">
    <w:pPr>
      <w:pStyle w:val="Footer"/>
      <w:pBdr>
        <w:top w:val="single" w:sz="4" w:space="1" w:color="D9D9D9" w:themeColor="background1" w:themeShade="D9"/>
      </w:pBdr>
      <w:jc w:val="right"/>
    </w:pPr>
    <w:r>
      <w:rPr>
        <w:color w:val="808080" w:themeColor="background1" w:themeShade="80"/>
        <w:spacing w:val="60"/>
      </w:rPr>
      <w:t>Page</w:t>
    </w:r>
    <w:r>
      <w:t xml:space="preserve"> | </w:t>
    </w:r>
    <w:r>
      <w:fldChar w:fldCharType="begin"/>
    </w:r>
    <w:r>
      <w:instrText xml:space="preserve"> PAGE   \* MERGEFORMAT </w:instrText>
    </w:r>
    <w:r>
      <w:fldChar w:fldCharType="separate"/>
    </w:r>
    <w:r w:rsidR="002B3342" w:rsidRPr="002B3342">
      <w:rPr>
        <w:b/>
        <w:bCs/>
        <w:noProof/>
      </w:rPr>
      <w:t>10</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0DE" w:rsidRDefault="007220DE" w:rsidP="008A40C1">
      <w:pPr>
        <w:spacing w:after="0" w:line="240" w:lineRule="auto"/>
      </w:pPr>
      <w:r>
        <w:separator/>
      </w:r>
    </w:p>
  </w:footnote>
  <w:footnote w:type="continuationSeparator" w:id="0">
    <w:p w:rsidR="007220DE" w:rsidRDefault="007220DE" w:rsidP="008A40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0DE" w:rsidRPr="008A40C1" w:rsidRDefault="007220DE" w:rsidP="008A40C1">
    <w:pPr>
      <w:pStyle w:val="Header"/>
      <w:jc w:val="right"/>
      <w:rPr>
        <w:rFonts w:ascii="Arial" w:hAnsi="Arial" w:cs="Arial"/>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15FB3"/>
    <w:multiLevelType w:val="hybridMultilevel"/>
    <w:tmpl w:val="5DF28F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5787871"/>
    <w:multiLevelType w:val="hybridMultilevel"/>
    <w:tmpl w:val="C5A4A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052FBB"/>
    <w:multiLevelType w:val="hybridMultilevel"/>
    <w:tmpl w:val="886E6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29380B"/>
    <w:multiLevelType w:val="multilevel"/>
    <w:tmpl w:val="BAB65AD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A76901"/>
    <w:multiLevelType w:val="hybridMultilevel"/>
    <w:tmpl w:val="4C5CD74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F252FA8"/>
    <w:multiLevelType w:val="hybridMultilevel"/>
    <w:tmpl w:val="C9F8BE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F41578F"/>
    <w:multiLevelType w:val="hybridMultilevel"/>
    <w:tmpl w:val="81CA94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2D11548"/>
    <w:multiLevelType w:val="hybridMultilevel"/>
    <w:tmpl w:val="30CA438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52B143F"/>
    <w:multiLevelType w:val="hybridMultilevel"/>
    <w:tmpl w:val="D01672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52F2A2D"/>
    <w:multiLevelType w:val="hybridMultilevel"/>
    <w:tmpl w:val="8438B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86622A"/>
    <w:multiLevelType w:val="hybridMultilevel"/>
    <w:tmpl w:val="629C83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9E0A13"/>
    <w:multiLevelType w:val="hybridMultilevel"/>
    <w:tmpl w:val="44E22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3C4C31"/>
    <w:multiLevelType w:val="hybridMultilevel"/>
    <w:tmpl w:val="6AE41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2C7A7F"/>
    <w:multiLevelType w:val="hybridMultilevel"/>
    <w:tmpl w:val="6A3887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8B25E6"/>
    <w:multiLevelType w:val="hybridMultilevel"/>
    <w:tmpl w:val="593CAB88"/>
    <w:lvl w:ilvl="0" w:tplc="8FA65ECE">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3575A5"/>
    <w:multiLevelType w:val="hybridMultilevel"/>
    <w:tmpl w:val="16401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9B311B"/>
    <w:multiLevelType w:val="hybridMultilevel"/>
    <w:tmpl w:val="CBA27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1A4B78"/>
    <w:multiLevelType w:val="hybridMultilevel"/>
    <w:tmpl w:val="AF6C4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0604EC"/>
    <w:multiLevelType w:val="multilevel"/>
    <w:tmpl w:val="F0407230"/>
    <w:lvl w:ilvl="0">
      <w:start w:val="1"/>
      <w:numFmt w:val="decimal"/>
      <w:lvlText w:val="%1"/>
      <w:lvlJc w:val="left"/>
      <w:pPr>
        <w:ind w:left="708" w:hanging="708"/>
      </w:pPr>
      <w:rPr>
        <w:rFonts w:ascii="Arial" w:hAnsi="Arial" w:cs="Arial" w:hint="default"/>
        <w:sz w:val="24"/>
      </w:rPr>
    </w:lvl>
    <w:lvl w:ilvl="1">
      <w:start w:val="1"/>
      <w:numFmt w:val="decimal"/>
      <w:lvlText w:val="%1.%2"/>
      <w:lvlJc w:val="left"/>
      <w:pPr>
        <w:ind w:left="708" w:hanging="708"/>
      </w:pPr>
      <w:rPr>
        <w:rFonts w:ascii="Arial" w:hAnsi="Arial" w:cs="Arial" w:hint="default"/>
        <w:sz w:val="24"/>
      </w:rPr>
    </w:lvl>
    <w:lvl w:ilvl="2">
      <w:start w:val="1"/>
      <w:numFmt w:val="decimal"/>
      <w:lvlText w:val="%1.%2.%3"/>
      <w:lvlJc w:val="left"/>
      <w:pPr>
        <w:ind w:left="720" w:hanging="720"/>
      </w:pPr>
      <w:rPr>
        <w:rFonts w:ascii="Arial" w:hAnsi="Arial" w:cs="Arial" w:hint="default"/>
        <w:sz w:val="24"/>
      </w:rPr>
    </w:lvl>
    <w:lvl w:ilvl="3">
      <w:start w:val="1"/>
      <w:numFmt w:val="decimal"/>
      <w:lvlText w:val="%1.%2.%3.%4"/>
      <w:lvlJc w:val="left"/>
      <w:pPr>
        <w:ind w:left="1080" w:hanging="1080"/>
      </w:pPr>
      <w:rPr>
        <w:rFonts w:ascii="Arial" w:hAnsi="Arial" w:cs="Arial" w:hint="default"/>
        <w:sz w:val="24"/>
      </w:rPr>
    </w:lvl>
    <w:lvl w:ilvl="4">
      <w:start w:val="1"/>
      <w:numFmt w:val="decimal"/>
      <w:lvlText w:val="%1.%2.%3.%4.%5"/>
      <w:lvlJc w:val="left"/>
      <w:pPr>
        <w:ind w:left="1080" w:hanging="1080"/>
      </w:pPr>
      <w:rPr>
        <w:rFonts w:ascii="Arial" w:hAnsi="Arial" w:cs="Arial" w:hint="default"/>
        <w:sz w:val="24"/>
      </w:rPr>
    </w:lvl>
    <w:lvl w:ilvl="5">
      <w:start w:val="1"/>
      <w:numFmt w:val="decimal"/>
      <w:lvlText w:val="%1.%2.%3.%4.%5.%6"/>
      <w:lvlJc w:val="left"/>
      <w:pPr>
        <w:ind w:left="1440" w:hanging="1440"/>
      </w:pPr>
      <w:rPr>
        <w:rFonts w:ascii="Arial" w:hAnsi="Arial" w:cs="Arial" w:hint="default"/>
        <w:sz w:val="24"/>
      </w:rPr>
    </w:lvl>
    <w:lvl w:ilvl="6">
      <w:start w:val="1"/>
      <w:numFmt w:val="decimal"/>
      <w:lvlText w:val="%1.%2.%3.%4.%5.%6.%7"/>
      <w:lvlJc w:val="left"/>
      <w:pPr>
        <w:ind w:left="1440" w:hanging="1440"/>
      </w:pPr>
      <w:rPr>
        <w:rFonts w:ascii="Arial" w:hAnsi="Arial" w:cs="Arial" w:hint="default"/>
        <w:sz w:val="24"/>
      </w:rPr>
    </w:lvl>
    <w:lvl w:ilvl="7">
      <w:start w:val="1"/>
      <w:numFmt w:val="decimal"/>
      <w:lvlText w:val="%1.%2.%3.%4.%5.%6.%7.%8"/>
      <w:lvlJc w:val="left"/>
      <w:pPr>
        <w:ind w:left="1800" w:hanging="1800"/>
      </w:pPr>
      <w:rPr>
        <w:rFonts w:ascii="Arial" w:hAnsi="Arial" w:cs="Arial" w:hint="default"/>
        <w:sz w:val="24"/>
      </w:rPr>
    </w:lvl>
    <w:lvl w:ilvl="8">
      <w:start w:val="1"/>
      <w:numFmt w:val="decimal"/>
      <w:lvlText w:val="%1.%2.%3.%4.%5.%6.%7.%8.%9"/>
      <w:lvlJc w:val="left"/>
      <w:pPr>
        <w:ind w:left="1800" w:hanging="1800"/>
      </w:pPr>
      <w:rPr>
        <w:rFonts w:ascii="Arial" w:hAnsi="Arial" w:cs="Arial" w:hint="default"/>
        <w:sz w:val="24"/>
      </w:rPr>
    </w:lvl>
  </w:abstractNum>
  <w:abstractNum w:abstractNumId="19" w15:restartNumberingAfterBreak="0">
    <w:nsid w:val="61B76A80"/>
    <w:multiLevelType w:val="hybridMultilevel"/>
    <w:tmpl w:val="0D9C7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2D43C5"/>
    <w:multiLevelType w:val="hybridMultilevel"/>
    <w:tmpl w:val="E368AD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FB65F77"/>
    <w:multiLevelType w:val="multilevel"/>
    <w:tmpl w:val="3908370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72853326"/>
    <w:multiLevelType w:val="hybridMultilevel"/>
    <w:tmpl w:val="377AAC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35A129B"/>
    <w:multiLevelType w:val="hybridMultilevel"/>
    <w:tmpl w:val="B59222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F43E27"/>
    <w:multiLevelType w:val="multilevel"/>
    <w:tmpl w:val="2DC40DD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9116186"/>
    <w:multiLevelType w:val="hybridMultilevel"/>
    <w:tmpl w:val="3C086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2F6C22"/>
    <w:multiLevelType w:val="hybridMultilevel"/>
    <w:tmpl w:val="38C66E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D865132"/>
    <w:multiLevelType w:val="hybridMultilevel"/>
    <w:tmpl w:val="6A3E3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B00647"/>
    <w:multiLevelType w:val="hybridMultilevel"/>
    <w:tmpl w:val="D808479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8"/>
  </w:num>
  <w:num w:numId="3">
    <w:abstractNumId w:val="20"/>
  </w:num>
  <w:num w:numId="4">
    <w:abstractNumId w:val="22"/>
  </w:num>
  <w:num w:numId="5">
    <w:abstractNumId w:val="3"/>
  </w:num>
  <w:num w:numId="6">
    <w:abstractNumId w:val="21"/>
  </w:num>
  <w:num w:numId="7">
    <w:abstractNumId w:val="17"/>
  </w:num>
  <w:num w:numId="8">
    <w:abstractNumId w:val="13"/>
  </w:num>
  <w:num w:numId="9">
    <w:abstractNumId w:val="1"/>
  </w:num>
  <w:num w:numId="10">
    <w:abstractNumId w:val="19"/>
  </w:num>
  <w:num w:numId="11">
    <w:abstractNumId w:val="4"/>
  </w:num>
  <w:num w:numId="12">
    <w:abstractNumId w:val="23"/>
  </w:num>
  <w:num w:numId="13">
    <w:abstractNumId w:val="15"/>
  </w:num>
  <w:num w:numId="14">
    <w:abstractNumId w:val="11"/>
  </w:num>
  <w:num w:numId="15">
    <w:abstractNumId w:val="5"/>
  </w:num>
  <w:num w:numId="16">
    <w:abstractNumId w:val="27"/>
  </w:num>
  <w:num w:numId="17">
    <w:abstractNumId w:val="6"/>
  </w:num>
  <w:num w:numId="18">
    <w:abstractNumId w:val="14"/>
  </w:num>
  <w:num w:numId="19">
    <w:abstractNumId w:val="28"/>
  </w:num>
  <w:num w:numId="20">
    <w:abstractNumId w:val="0"/>
  </w:num>
  <w:num w:numId="21">
    <w:abstractNumId w:val="16"/>
  </w:num>
  <w:num w:numId="22">
    <w:abstractNumId w:val="2"/>
  </w:num>
  <w:num w:numId="23">
    <w:abstractNumId w:val="25"/>
  </w:num>
  <w:num w:numId="24">
    <w:abstractNumId w:val="12"/>
  </w:num>
  <w:num w:numId="25">
    <w:abstractNumId w:val="8"/>
  </w:num>
  <w:num w:numId="26">
    <w:abstractNumId w:val="10"/>
  </w:num>
  <w:num w:numId="27">
    <w:abstractNumId w:val="9"/>
  </w:num>
  <w:num w:numId="28">
    <w:abstractNumId w:val="26"/>
  </w:num>
  <w:num w:numId="29">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51E"/>
    <w:rsid w:val="000020C2"/>
    <w:rsid w:val="000135F7"/>
    <w:rsid w:val="00020DCC"/>
    <w:rsid w:val="00023136"/>
    <w:rsid w:val="0005181E"/>
    <w:rsid w:val="000555B3"/>
    <w:rsid w:val="0006315C"/>
    <w:rsid w:val="00066F39"/>
    <w:rsid w:val="000740E5"/>
    <w:rsid w:val="000741B0"/>
    <w:rsid w:val="000750E9"/>
    <w:rsid w:val="000B3262"/>
    <w:rsid w:val="000B5A78"/>
    <w:rsid w:val="000C48EB"/>
    <w:rsid w:val="000D1288"/>
    <w:rsid w:val="000D4138"/>
    <w:rsid w:val="000E1C5B"/>
    <w:rsid w:val="000F39C8"/>
    <w:rsid w:val="000F3D94"/>
    <w:rsid w:val="00107A67"/>
    <w:rsid w:val="00114F1C"/>
    <w:rsid w:val="00124DD2"/>
    <w:rsid w:val="00146B69"/>
    <w:rsid w:val="00151F8F"/>
    <w:rsid w:val="00174E7A"/>
    <w:rsid w:val="001761FB"/>
    <w:rsid w:val="00182B32"/>
    <w:rsid w:val="00185BB2"/>
    <w:rsid w:val="001A540C"/>
    <w:rsid w:val="001A7355"/>
    <w:rsid w:val="001C05BF"/>
    <w:rsid w:val="001C33FB"/>
    <w:rsid w:val="001C57A3"/>
    <w:rsid w:val="001C7EFA"/>
    <w:rsid w:val="001D3A07"/>
    <w:rsid w:val="001D4936"/>
    <w:rsid w:val="001D4B6A"/>
    <w:rsid w:val="001E1816"/>
    <w:rsid w:val="001F2836"/>
    <w:rsid w:val="002122FF"/>
    <w:rsid w:val="002143F5"/>
    <w:rsid w:val="00216049"/>
    <w:rsid w:val="002241F3"/>
    <w:rsid w:val="00225D10"/>
    <w:rsid w:val="002374AD"/>
    <w:rsid w:val="00243C21"/>
    <w:rsid w:val="00253C22"/>
    <w:rsid w:val="00254361"/>
    <w:rsid w:val="00254CF6"/>
    <w:rsid w:val="002712D8"/>
    <w:rsid w:val="00271625"/>
    <w:rsid w:val="0028028C"/>
    <w:rsid w:val="002837F2"/>
    <w:rsid w:val="00287506"/>
    <w:rsid w:val="002907CE"/>
    <w:rsid w:val="002949CB"/>
    <w:rsid w:val="00297D17"/>
    <w:rsid w:val="002A0306"/>
    <w:rsid w:val="002A0680"/>
    <w:rsid w:val="002B3342"/>
    <w:rsid w:val="002B7491"/>
    <w:rsid w:val="002C0E35"/>
    <w:rsid w:val="002C2C54"/>
    <w:rsid w:val="002D1AA0"/>
    <w:rsid w:val="002E7601"/>
    <w:rsid w:val="003023FB"/>
    <w:rsid w:val="00310317"/>
    <w:rsid w:val="00344487"/>
    <w:rsid w:val="00345A7B"/>
    <w:rsid w:val="00345AD2"/>
    <w:rsid w:val="003469FA"/>
    <w:rsid w:val="003549A9"/>
    <w:rsid w:val="00367E04"/>
    <w:rsid w:val="003701CD"/>
    <w:rsid w:val="00374FF1"/>
    <w:rsid w:val="00376789"/>
    <w:rsid w:val="0039073B"/>
    <w:rsid w:val="00390D91"/>
    <w:rsid w:val="00391829"/>
    <w:rsid w:val="003B1FE4"/>
    <w:rsid w:val="003C217E"/>
    <w:rsid w:val="003C314C"/>
    <w:rsid w:val="003D67D6"/>
    <w:rsid w:val="003E07ED"/>
    <w:rsid w:val="00405FB5"/>
    <w:rsid w:val="004074F2"/>
    <w:rsid w:val="00410637"/>
    <w:rsid w:val="004158FA"/>
    <w:rsid w:val="00427215"/>
    <w:rsid w:val="00433AFE"/>
    <w:rsid w:val="004444D0"/>
    <w:rsid w:val="0045622E"/>
    <w:rsid w:val="00463F22"/>
    <w:rsid w:val="0048350C"/>
    <w:rsid w:val="00484252"/>
    <w:rsid w:val="004A6446"/>
    <w:rsid w:val="004A7BDA"/>
    <w:rsid w:val="004B0965"/>
    <w:rsid w:val="004B11EC"/>
    <w:rsid w:val="004B23B1"/>
    <w:rsid w:val="004E172F"/>
    <w:rsid w:val="004E73FF"/>
    <w:rsid w:val="004E7AB1"/>
    <w:rsid w:val="00506114"/>
    <w:rsid w:val="00506798"/>
    <w:rsid w:val="005077AC"/>
    <w:rsid w:val="0053152D"/>
    <w:rsid w:val="00532515"/>
    <w:rsid w:val="00535AF2"/>
    <w:rsid w:val="0053744E"/>
    <w:rsid w:val="00541170"/>
    <w:rsid w:val="00544D38"/>
    <w:rsid w:val="00552476"/>
    <w:rsid w:val="00565092"/>
    <w:rsid w:val="00572A6F"/>
    <w:rsid w:val="005745A1"/>
    <w:rsid w:val="00584B9B"/>
    <w:rsid w:val="00596244"/>
    <w:rsid w:val="005A4752"/>
    <w:rsid w:val="005B4149"/>
    <w:rsid w:val="005C3719"/>
    <w:rsid w:val="005C7D1B"/>
    <w:rsid w:val="005D5897"/>
    <w:rsid w:val="005E2550"/>
    <w:rsid w:val="005E7253"/>
    <w:rsid w:val="005F41AE"/>
    <w:rsid w:val="005F4E95"/>
    <w:rsid w:val="00610FE4"/>
    <w:rsid w:val="0063158E"/>
    <w:rsid w:val="006427B9"/>
    <w:rsid w:val="00643B32"/>
    <w:rsid w:val="00652885"/>
    <w:rsid w:val="00654A8F"/>
    <w:rsid w:val="0065596A"/>
    <w:rsid w:val="006669F6"/>
    <w:rsid w:val="0067751E"/>
    <w:rsid w:val="006805E2"/>
    <w:rsid w:val="00690CAA"/>
    <w:rsid w:val="00694D4E"/>
    <w:rsid w:val="00696465"/>
    <w:rsid w:val="006A76BC"/>
    <w:rsid w:val="006B3A2E"/>
    <w:rsid w:val="006B3DA6"/>
    <w:rsid w:val="006E2EE6"/>
    <w:rsid w:val="00701664"/>
    <w:rsid w:val="007130AB"/>
    <w:rsid w:val="00717B0D"/>
    <w:rsid w:val="00721BA7"/>
    <w:rsid w:val="007220DE"/>
    <w:rsid w:val="00725A9D"/>
    <w:rsid w:val="007326A0"/>
    <w:rsid w:val="00762F15"/>
    <w:rsid w:val="00777924"/>
    <w:rsid w:val="0078085B"/>
    <w:rsid w:val="007869AC"/>
    <w:rsid w:val="007A54CD"/>
    <w:rsid w:val="007B0D1F"/>
    <w:rsid w:val="007C27C4"/>
    <w:rsid w:val="007C5A75"/>
    <w:rsid w:val="007E0AFC"/>
    <w:rsid w:val="007E2A88"/>
    <w:rsid w:val="007F00E1"/>
    <w:rsid w:val="007F5ED3"/>
    <w:rsid w:val="00801FD0"/>
    <w:rsid w:val="008043D0"/>
    <w:rsid w:val="00811D87"/>
    <w:rsid w:val="00825507"/>
    <w:rsid w:val="008320BB"/>
    <w:rsid w:val="00855CD5"/>
    <w:rsid w:val="00855D59"/>
    <w:rsid w:val="00857043"/>
    <w:rsid w:val="00862D60"/>
    <w:rsid w:val="00862DDA"/>
    <w:rsid w:val="0087458F"/>
    <w:rsid w:val="00883500"/>
    <w:rsid w:val="00884F0E"/>
    <w:rsid w:val="008855F7"/>
    <w:rsid w:val="008A0598"/>
    <w:rsid w:val="008A40C1"/>
    <w:rsid w:val="008C2589"/>
    <w:rsid w:val="008D137D"/>
    <w:rsid w:val="008D4594"/>
    <w:rsid w:val="008F53B6"/>
    <w:rsid w:val="008F6515"/>
    <w:rsid w:val="00935BBD"/>
    <w:rsid w:val="00936370"/>
    <w:rsid w:val="00943FCE"/>
    <w:rsid w:val="00954808"/>
    <w:rsid w:val="009562F7"/>
    <w:rsid w:val="009604C6"/>
    <w:rsid w:val="00973111"/>
    <w:rsid w:val="0098536E"/>
    <w:rsid w:val="009A5B6B"/>
    <w:rsid w:val="009C53D3"/>
    <w:rsid w:val="009C5A7B"/>
    <w:rsid w:val="009D0275"/>
    <w:rsid w:val="009D623B"/>
    <w:rsid w:val="009F00AF"/>
    <w:rsid w:val="009F429E"/>
    <w:rsid w:val="009F6928"/>
    <w:rsid w:val="00A130DF"/>
    <w:rsid w:val="00A21885"/>
    <w:rsid w:val="00A27633"/>
    <w:rsid w:val="00A418EC"/>
    <w:rsid w:val="00A57F44"/>
    <w:rsid w:val="00A60D01"/>
    <w:rsid w:val="00A65F0F"/>
    <w:rsid w:val="00A80FF1"/>
    <w:rsid w:val="00A85D1D"/>
    <w:rsid w:val="00A92839"/>
    <w:rsid w:val="00A929C7"/>
    <w:rsid w:val="00A94874"/>
    <w:rsid w:val="00AA0D70"/>
    <w:rsid w:val="00AA5650"/>
    <w:rsid w:val="00AB6094"/>
    <w:rsid w:val="00AB7D89"/>
    <w:rsid w:val="00AC2C51"/>
    <w:rsid w:val="00AD2980"/>
    <w:rsid w:val="00AD53AB"/>
    <w:rsid w:val="00AD792D"/>
    <w:rsid w:val="00AF525D"/>
    <w:rsid w:val="00B02BFA"/>
    <w:rsid w:val="00B074F7"/>
    <w:rsid w:val="00B209AD"/>
    <w:rsid w:val="00B22EBB"/>
    <w:rsid w:val="00B265BC"/>
    <w:rsid w:val="00B325EB"/>
    <w:rsid w:val="00B346FE"/>
    <w:rsid w:val="00B42A61"/>
    <w:rsid w:val="00B507D4"/>
    <w:rsid w:val="00B50B6D"/>
    <w:rsid w:val="00B64A6F"/>
    <w:rsid w:val="00B8067B"/>
    <w:rsid w:val="00BB6AD7"/>
    <w:rsid w:val="00BC0F24"/>
    <w:rsid w:val="00BE2202"/>
    <w:rsid w:val="00BE26AE"/>
    <w:rsid w:val="00BF5E55"/>
    <w:rsid w:val="00C077C2"/>
    <w:rsid w:val="00C11BD6"/>
    <w:rsid w:val="00C30156"/>
    <w:rsid w:val="00C43034"/>
    <w:rsid w:val="00C45FF3"/>
    <w:rsid w:val="00C5076E"/>
    <w:rsid w:val="00C52973"/>
    <w:rsid w:val="00C56020"/>
    <w:rsid w:val="00C56FD3"/>
    <w:rsid w:val="00C651CA"/>
    <w:rsid w:val="00C66F14"/>
    <w:rsid w:val="00C853DC"/>
    <w:rsid w:val="00C87164"/>
    <w:rsid w:val="00C90354"/>
    <w:rsid w:val="00C95917"/>
    <w:rsid w:val="00CA26DB"/>
    <w:rsid w:val="00CA2ABB"/>
    <w:rsid w:val="00CB3D10"/>
    <w:rsid w:val="00CB7F53"/>
    <w:rsid w:val="00CC3C4D"/>
    <w:rsid w:val="00CC7F89"/>
    <w:rsid w:val="00D010DA"/>
    <w:rsid w:val="00D26E78"/>
    <w:rsid w:val="00D3504D"/>
    <w:rsid w:val="00D35683"/>
    <w:rsid w:val="00D445CD"/>
    <w:rsid w:val="00D5453E"/>
    <w:rsid w:val="00D61B1C"/>
    <w:rsid w:val="00D62A8E"/>
    <w:rsid w:val="00D63905"/>
    <w:rsid w:val="00D67C6B"/>
    <w:rsid w:val="00D71528"/>
    <w:rsid w:val="00D81788"/>
    <w:rsid w:val="00D971CE"/>
    <w:rsid w:val="00D97A8F"/>
    <w:rsid w:val="00DA58A4"/>
    <w:rsid w:val="00DA64CE"/>
    <w:rsid w:val="00DA70E7"/>
    <w:rsid w:val="00DA75D5"/>
    <w:rsid w:val="00DB598A"/>
    <w:rsid w:val="00DC1C41"/>
    <w:rsid w:val="00DD2267"/>
    <w:rsid w:val="00DD6BDF"/>
    <w:rsid w:val="00DF047F"/>
    <w:rsid w:val="00DF517D"/>
    <w:rsid w:val="00DF63CE"/>
    <w:rsid w:val="00DF7A95"/>
    <w:rsid w:val="00E015C8"/>
    <w:rsid w:val="00E124F8"/>
    <w:rsid w:val="00E12D63"/>
    <w:rsid w:val="00E22B90"/>
    <w:rsid w:val="00E31E71"/>
    <w:rsid w:val="00E5383A"/>
    <w:rsid w:val="00E5638B"/>
    <w:rsid w:val="00E57CCA"/>
    <w:rsid w:val="00E71F1D"/>
    <w:rsid w:val="00EB40F0"/>
    <w:rsid w:val="00EB7EF5"/>
    <w:rsid w:val="00EC0ABB"/>
    <w:rsid w:val="00EE0C7C"/>
    <w:rsid w:val="00F10410"/>
    <w:rsid w:val="00F13FE7"/>
    <w:rsid w:val="00F61C87"/>
    <w:rsid w:val="00F622CF"/>
    <w:rsid w:val="00F62D3E"/>
    <w:rsid w:val="00F6443F"/>
    <w:rsid w:val="00F83715"/>
    <w:rsid w:val="00FA2E54"/>
    <w:rsid w:val="00FA2FA2"/>
    <w:rsid w:val="00FB1DD3"/>
    <w:rsid w:val="00FB2C07"/>
    <w:rsid w:val="00FB38CA"/>
    <w:rsid w:val="00FB3AB4"/>
    <w:rsid w:val="00FC1B26"/>
    <w:rsid w:val="00FE0480"/>
    <w:rsid w:val="00FE3D4B"/>
    <w:rsid w:val="00FF18DA"/>
    <w:rsid w:val="00FF21BF"/>
    <w:rsid w:val="00FF2826"/>
    <w:rsid w:val="00FF4D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AFC38"/>
  <w15:docId w15:val="{09611E28-ABE7-419B-85CD-4B8C8B7C9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51E"/>
  </w:style>
  <w:style w:type="paragraph" w:styleId="Heading1">
    <w:name w:val="heading 1"/>
    <w:basedOn w:val="Normal"/>
    <w:next w:val="Normal"/>
    <w:link w:val="Heading1Char"/>
    <w:uiPriority w:val="9"/>
    <w:qFormat/>
    <w:rsid w:val="006775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0740E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75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75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51E"/>
    <w:rPr>
      <w:rFonts w:ascii="Tahoma" w:hAnsi="Tahoma" w:cs="Tahoma"/>
      <w:sz w:val="16"/>
      <w:szCs w:val="16"/>
    </w:rPr>
  </w:style>
  <w:style w:type="character" w:customStyle="1" w:styleId="Heading1Char">
    <w:name w:val="Heading 1 Char"/>
    <w:basedOn w:val="DefaultParagraphFont"/>
    <w:link w:val="Heading1"/>
    <w:uiPriority w:val="9"/>
    <w:rsid w:val="0067751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67751E"/>
    <w:pPr>
      <w:outlineLvl w:val="9"/>
    </w:pPr>
    <w:rPr>
      <w:lang w:val="en-US" w:eastAsia="ja-JP"/>
    </w:rPr>
  </w:style>
  <w:style w:type="paragraph" w:styleId="ListParagraph">
    <w:name w:val="List Paragraph"/>
    <w:basedOn w:val="Normal"/>
    <w:uiPriority w:val="34"/>
    <w:qFormat/>
    <w:rsid w:val="000D4138"/>
    <w:pPr>
      <w:ind w:left="720"/>
      <w:contextualSpacing/>
    </w:pPr>
  </w:style>
  <w:style w:type="paragraph" w:styleId="TOC1">
    <w:name w:val="toc 1"/>
    <w:basedOn w:val="Normal"/>
    <w:next w:val="Normal"/>
    <w:autoRedefine/>
    <w:uiPriority w:val="39"/>
    <w:unhideWhenUsed/>
    <w:rsid w:val="009D0275"/>
    <w:pPr>
      <w:tabs>
        <w:tab w:val="left" w:pos="709"/>
        <w:tab w:val="right" w:leader="dot" w:pos="9016"/>
      </w:tabs>
      <w:spacing w:after="100"/>
    </w:pPr>
  </w:style>
  <w:style w:type="paragraph" w:styleId="TOC2">
    <w:name w:val="toc 2"/>
    <w:basedOn w:val="Normal"/>
    <w:next w:val="Normal"/>
    <w:autoRedefine/>
    <w:uiPriority w:val="39"/>
    <w:unhideWhenUsed/>
    <w:rsid w:val="00C87164"/>
    <w:pPr>
      <w:spacing w:after="100"/>
      <w:ind w:left="220"/>
    </w:pPr>
  </w:style>
  <w:style w:type="character" w:styleId="Hyperlink">
    <w:name w:val="Hyperlink"/>
    <w:basedOn w:val="DefaultParagraphFont"/>
    <w:uiPriority w:val="99"/>
    <w:unhideWhenUsed/>
    <w:rsid w:val="00C87164"/>
    <w:rPr>
      <w:color w:val="0000FF" w:themeColor="hyperlink"/>
      <w:u w:val="single"/>
    </w:rPr>
  </w:style>
  <w:style w:type="paragraph" w:styleId="BodyText">
    <w:name w:val="Body Text"/>
    <w:basedOn w:val="Normal"/>
    <w:link w:val="BodyTextChar"/>
    <w:rsid w:val="004E7AB1"/>
    <w:pPr>
      <w:spacing w:after="0" w:line="240" w:lineRule="auto"/>
    </w:pPr>
    <w:rPr>
      <w:rFonts w:ascii="Arial" w:eastAsia="Times New Roman" w:hAnsi="Arial" w:cs="Arial"/>
      <w:b/>
      <w:bCs/>
      <w:sz w:val="28"/>
      <w:szCs w:val="24"/>
    </w:rPr>
  </w:style>
  <w:style w:type="character" w:customStyle="1" w:styleId="BodyTextChar">
    <w:name w:val="Body Text Char"/>
    <w:basedOn w:val="DefaultParagraphFont"/>
    <w:link w:val="BodyText"/>
    <w:rsid w:val="004E7AB1"/>
    <w:rPr>
      <w:rFonts w:ascii="Arial" w:eastAsia="Times New Roman" w:hAnsi="Arial" w:cs="Arial"/>
      <w:b/>
      <w:bCs/>
      <w:sz w:val="28"/>
      <w:szCs w:val="24"/>
    </w:rPr>
  </w:style>
  <w:style w:type="paragraph" w:styleId="Header">
    <w:name w:val="header"/>
    <w:basedOn w:val="Normal"/>
    <w:link w:val="HeaderChar"/>
    <w:uiPriority w:val="99"/>
    <w:unhideWhenUsed/>
    <w:rsid w:val="008A40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40C1"/>
  </w:style>
  <w:style w:type="paragraph" w:styleId="Footer">
    <w:name w:val="footer"/>
    <w:basedOn w:val="Normal"/>
    <w:link w:val="FooterChar"/>
    <w:uiPriority w:val="99"/>
    <w:unhideWhenUsed/>
    <w:rsid w:val="008A40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40C1"/>
  </w:style>
  <w:style w:type="paragraph" w:customStyle="1" w:styleId="Default">
    <w:name w:val="Default"/>
    <w:rsid w:val="00762F15"/>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CB7F53"/>
    <w:rPr>
      <w:b/>
      <w:bCs/>
    </w:rPr>
  </w:style>
  <w:style w:type="paragraph" w:styleId="NormalWeb">
    <w:name w:val="Normal (Web)"/>
    <w:basedOn w:val="Normal"/>
    <w:uiPriority w:val="99"/>
    <w:semiHidden/>
    <w:unhideWhenUsed/>
    <w:rsid w:val="00CB7F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0740E5"/>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584B9B"/>
    <w:rPr>
      <w:color w:val="800080" w:themeColor="followedHyperlink"/>
      <w:u w:val="single"/>
    </w:rPr>
  </w:style>
  <w:style w:type="table" w:customStyle="1" w:styleId="TableGrid1">
    <w:name w:val="Table Grid1"/>
    <w:basedOn w:val="TableNormal"/>
    <w:next w:val="TableGrid"/>
    <w:rsid w:val="00943FCE"/>
    <w:pPr>
      <w:spacing w:after="0" w:line="240" w:lineRule="auto"/>
    </w:pPr>
    <w:rPr>
      <w:rFonts w:ascii="Arial" w:eastAsia="Times New Roman"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C5A7B"/>
    <w:rPr>
      <w:i/>
      <w:iCs/>
    </w:rPr>
  </w:style>
  <w:style w:type="character" w:styleId="SubtleReference">
    <w:name w:val="Subtle Reference"/>
    <w:basedOn w:val="DefaultParagraphFont"/>
    <w:uiPriority w:val="31"/>
    <w:qFormat/>
    <w:rsid w:val="00DA58A4"/>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53726">
      <w:bodyDiv w:val="1"/>
      <w:marLeft w:val="0"/>
      <w:marRight w:val="0"/>
      <w:marTop w:val="0"/>
      <w:marBottom w:val="0"/>
      <w:divBdr>
        <w:top w:val="none" w:sz="0" w:space="0" w:color="auto"/>
        <w:left w:val="none" w:sz="0" w:space="0" w:color="auto"/>
        <w:bottom w:val="none" w:sz="0" w:space="0" w:color="auto"/>
        <w:right w:val="none" w:sz="0" w:space="0" w:color="auto"/>
      </w:divBdr>
    </w:div>
    <w:div w:id="245501418">
      <w:bodyDiv w:val="1"/>
      <w:marLeft w:val="0"/>
      <w:marRight w:val="0"/>
      <w:marTop w:val="0"/>
      <w:marBottom w:val="0"/>
      <w:divBdr>
        <w:top w:val="none" w:sz="0" w:space="0" w:color="auto"/>
        <w:left w:val="none" w:sz="0" w:space="0" w:color="auto"/>
        <w:bottom w:val="none" w:sz="0" w:space="0" w:color="auto"/>
        <w:right w:val="none" w:sz="0" w:space="0" w:color="auto"/>
      </w:divBdr>
    </w:div>
    <w:div w:id="323049908">
      <w:bodyDiv w:val="1"/>
      <w:marLeft w:val="0"/>
      <w:marRight w:val="0"/>
      <w:marTop w:val="0"/>
      <w:marBottom w:val="0"/>
      <w:divBdr>
        <w:top w:val="none" w:sz="0" w:space="0" w:color="auto"/>
        <w:left w:val="none" w:sz="0" w:space="0" w:color="auto"/>
        <w:bottom w:val="none" w:sz="0" w:space="0" w:color="auto"/>
        <w:right w:val="none" w:sz="0" w:space="0" w:color="auto"/>
      </w:divBdr>
    </w:div>
    <w:div w:id="332730216">
      <w:bodyDiv w:val="1"/>
      <w:marLeft w:val="0"/>
      <w:marRight w:val="0"/>
      <w:marTop w:val="0"/>
      <w:marBottom w:val="0"/>
      <w:divBdr>
        <w:top w:val="none" w:sz="0" w:space="0" w:color="auto"/>
        <w:left w:val="none" w:sz="0" w:space="0" w:color="auto"/>
        <w:bottom w:val="none" w:sz="0" w:space="0" w:color="auto"/>
        <w:right w:val="none" w:sz="0" w:space="0" w:color="auto"/>
      </w:divBdr>
    </w:div>
    <w:div w:id="422725282">
      <w:bodyDiv w:val="1"/>
      <w:marLeft w:val="0"/>
      <w:marRight w:val="0"/>
      <w:marTop w:val="0"/>
      <w:marBottom w:val="0"/>
      <w:divBdr>
        <w:top w:val="none" w:sz="0" w:space="0" w:color="auto"/>
        <w:left w:val="none" w:sz="0" w:space="0" w:color="auto"/>
        <w:bottom w:val="none" w:sz="0" w:space="0" w:color="auto"/>
        <w:right w:val="none" w:sz="0" w:space="0" w:color="auto"/>
      </w:divBdr>
    </w:div>
    <w:div w:id="478697152">
      <w:bodyDiv w:val="1"/>
      <w:marLeft w:val="0"/>
      <w:marRight w:val="0"/>
      <w:marTop w:val="0"/>
      <w:marBottom w:val="0"/>
      <w:divBdr>
        <w:top w:val="none" w:sz="0" w:space="0" w:color="auto"/>
        <w:left w:val="none" w:sz="0" w:space="0" w:color="auto"/>
        <w:bottom w:val="none" w:sz="0" w:space="0" w:color="auto"/>
        <w:right w:val="none" w:sz="0" w:space="0" w:color="auto"/>
      </w:divBdr>
    </w:div>
    <w:div w:id="515852484">
      <w:bodyDiv w:val="1"/>
      <w:marLeft w:val="0"/>
      <w:marRight w:val="0"/>
      <w:marTop w:val="0"/>
      <w:marBottom w:val="0"/>
      <w:divBdr>
        <w:top w:val="none" w:sz="0" w:space="0" w:color="auto"/>
        <w:left w:val="none" w:sz="0" w:space="0" w:color="auto"/>
        <w:bottom w:val="none" w:sz="0" w:space="0" w:color="auto"/>
        <w:right w:val="none" w:sz="0" w:space="0" w:color="auto"/>
      </w:divBdr>
    </w:div>
    <w:div w:id="609360184">
      <w:bodyDiv w:val="1"/>
      <w:marLeft w:val="0"/>
      <w:marRight w:val="0"/>
      <w:marTop w:val="0"/>
      <w:marBottom w:val="0"/>
      <w:divBdr>
        <w:top w:val="none" w:sz="0" w:space="0" w:color="auto"/>
        <w:left w:val="none" w:sz="0" w:space="0" w:color="auto"/>
        <w:bottom w:val="none" w:sz="0" w:space="0" w:color="auto"/>
        <w:right w:val="none" w:sz="0" w:space="0" w:color="auto"/>
      </w:divBdr>
    </w:div>
    <w:div w:id="665016642">
      <w:bodyDiv w:val="1"/>
      <w:marLeft w:val="0"/>
      <w:marRight w:val="0"/>
      <w:marTop w:val="0"/>
      <w:marBottom w:val="0"/>
      <w:divBdr>
        <w:top w:val="none" w:sz="0" w:space="0" w:color="auto"/>
        <w:left w:val="none" w:sz="0" w:space="0" w:color="auto"/>
        <w:bottom w:val="none" w:sz="0" w:space="0" w:color="auto"/>
        <w:right w:val="none" w:sz="0" w:space="0" w:color="auto"/>
      </w:divBdr>
    </w:div>
    <w:div w:id="723530847">
      <w:bodyDiv w:val="1"/>
      <w:marLeft w:val="0"/>
      <w:marRight w:val="0"/>
      <w:marTop w:val="0"/>
      <w:marBottom w:val="0"/>
      <w:divBdr>
        <w:top w:val="none" w:sz="0" w:space="0" w:color="auto"/>
        <w:left w:val="none" w:sz="0" w:space="0" w:color="auto"/>
        <w:bottom w:val="none" w:sz="0" w:space="0" w:color="auto"/>
        <w:right w:val="none" w:sz="0" w:space="0" w:color="auto"/>
      </w:divBdr>
    </w:div>
    <w:div w:id="979652553">
      <w:bodyDiv w:val="1"/>
      <w:marLeft w:val="0"/>
      <w:marRight w:val="0"/>
      <w:marTop w:val="0"/>
      <w:marBottom w:val="0"/>
      <w:divBdr>
        <w:top w:val="none" w:sz="0" w:space="0" w:color="auto"/>
        <w:left w:val="none" w:sz="0" w:space="0" w:color="auto"/>
        <w:bottom w:val="none" w:sz="0" w:space="0" w:color="auto"/>
        <w:right w:val="none" w:sz="0" w:space="0" w:color="auto"/>
      </w:divBdr>
    </w:div>
    <w:div w:id="1243224256">
      <w:bodyDiv w:val="1"/>
      <w:marLeft w:val="0"/>
      <w:marRight w:val="0"/>
      <w:marTop w:val="0"/>
      <w:marBottom w:val="0"/>
      <w:divBdr>
        <w:top w:val="none" w:sz="0" w:space="0" w:color="auto"/>
        <w:left w:val="none" w:sz="0" w:space="0" w:color="auto"/>
        <w:bottom w:val="none" w:sz="0" w:space="0" w:color="auto"/>
        <w:right w:val="none" w:sz="0" w:space="0" w:color="auto"/>
      </w:divBdr>
    </w:div>
    <w:div w:id="1382553626">
      <w:bodyDiv w:val="1"/>
      <w:marLeft w:val="0"/>
      <w:marRight w:val="0"/>
      <w:marTop w:val="0"/>
      <w:marBottom w:val="0"/>
      <w:divBdr>
        <w:top w:val="none" w:sz="0" w:space="0" w:color="auto"/>
        <w:left w:val="none" w:sz="0" w:space="0" w:color="auto"/>
        <w:bottom w:val="none" w:sz="0" w:space="0" w:color="auto"/>
        <w:right w:val="none" w:sz="0" w:space="0" w:color="auto"/>
      </w:divBdr>
    </w:div>
    <w:div w:id="1535388265">
      <w:bodyDiv w:val="1"/>
      <w:marLeft w:val="0"/>
      <w:marRight w:val="0"/>
      <w:marTop w:val="0"/>
      <w:marBottom w:val="0"/>
      <w:divBdr>
        <w:top w:val="none" w:sz="0" w:space="0" w:color="auto"/>
        <w:left w:val="none" w:sz="0" w:space="0" w:color="auto"/>
        <w:bottom w:val="none" w:sz="0" w:space="0" w:color="auto"/>
        <w:right w:val="none" w:sz="0" w:space="0" w:color="auto"/>
      </w:divBdr>
    </w:div>
    <w:div w:id="1681466011">
      <w:bodyDiv w:val="1"/>
      <w:marLeft w:val="0"/>
      <w:marRight w:val="0"/>
      <w:marTop w:val="0"/>
      <w:marBottom w:val="0"/>
      <w:divBdr>
        <w:top w:val="none" w:sz="0" w:space="0" w:color="auto"/>
        <w:left w:val="none" w:sz="0" w:space="0" w:color="auto"/>
        <w:bottom w:val="none" w:sz="0" w:space="0" w:color="auto"/>
        <w:right w:val="none" w:sz="0" w:space="0" w:color="auto"/>
      </w:divBdr>
    </w:div>
    <w:div w:id="1990859903">
      <w:bodyDiv w:val="1"/>
      <w:marLeft w:val="0"/>
      <w:marRight w:val="0"/>
      <w:marTop w:val="0"/>
      <w:marBottom w:val="0"/>
      <w:divBdr>
        <w:top w:val="none" w:sz="0" w:space="0" w:color="auto"/>
        <w:left w:val="none" w:sz="0" w:space="0" w:color="auto"/>
        <w:bottom w:val="none" w:sz="0" w:space="0" w:color="auto"/>
        <w:right w:val="none" w:sz="0" w:space="0" w:color="auto"/>
      </w:divBdr>
    </w:div>
    <w:div w:id="2079858690">
      <w:bodyDiv w:val="1"/>
      <w:marLeft w:val="0"/>
      <w:marRight w:val="0"/>
      <w:marTop w:val="0"/>
      <w:marBottom w:val="0"/>
      <w:divBdr>
        <w:top w:val="none" w:sz="0" w:space="0" w:color="auto"/>
        <w:left w:val="none" w:sz="0" w:space="0" w:color="auto"/>
        <w:bottom w:val="none" w:sz="0" w:space="0" w:color="auto"/>
        <w:right w:val="none" w:sz="0" w:space="0" w:color="auto"/>
      </w:divBdr>
    </w:div>
    <w:div w:id="2097825802">
      <w:bodyDiv w:val="1"/>
      <w:marLeft w:val="0"/>
      <w:marRight w:val="0"/>
      <w:marTop w:val="0"/>
      <w:marBottom w:val="0"/>
      <w:divBdr>
        <w:top w:val="none" w:sz="0" w:space="0" w:color="auto"/>
        <w:left w:val="none" w:sz="0" w:space="0" w:color="auto"/>
        <w:bottom w:val="none" w:sz="0" w:space="0" w:color="auto"/>
        <w:right w:val="none" w:sz="0" w:space="0" w:color="auto"/>
      </w:divBdr>
    </w:div>
    <w:div w:id="211258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14081-3AE3-40CE-800C-8F9C503BF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11</Pages>
  <Words>2938</Words>
  <Characters>16749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Govan Housing Association</Company>
  <LinksUpToDate>false</LinksUpToDate>
  <CharactersWithSpaces>19648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Kerry-Ann Wallace</cp:lastModifiedBy>
  <cp:revision>4</cp:revision>
  <cp:lastPrinted>2015-08-11T17:09:00Z</cp:lastPrinted>
  <dcterms:created xsi:type="dcterms:W3CDTF">2023-03-21T14:24:00Z</dcterms:created>
  <dcterms:modified xsi:type="dcterms:W3CDTF">2023-03-21T15:24:00Z</dcterms:modified>
</cp:coreProperties>
</file>